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749D" w14:textId="304D2AF0" w:rsidR="00053043" w:rsidRDefault="00053043" w:rsidP="00053043">
      <w:pPr>
        <w:pStyle w:val="Paragraphedeliste"/>
        <w:rPr>
          <w:b/>
          <w:smallCaps/>
          <w:color w:val="31849B" w:themeColor="accent5" w:themeShade="BF"/>
          <w:sz w:val="24"/>
          <w:szCs w:val="24"/>
        </w:rPr>
      </w:pPr>
    </w:p>
    <w:p w14:paraId="1B74FDD3" w14:textId="77777777" w:rsidR="00005DB3" w:rsidRDefault="00005DB3" w:rsidP="00053043">
      <w:pPr>
        <w:pStyle w:val="Paragraphedeliste"/>
        <w:rPr>
          <w:b/>
          <w:smallCaps/>
          <w:color w:val="31849B" w:themeColor="accent5" w:themeShade="BF"/>
          <w:sz w:val="24"/>
          <w:szCs w:val="24"/>
        </w:rPr>
      </w:pPr>
    </w:p>
    <w:tbl>
      <w:tblPr>
        <w:tblStyle w:val="Grilledutableau"/>
        <w:tblW w:w="9639" w:type="dxa"/>
        <w:tblInd w:w="-5" w:type="dxa"/>
        <w:tblLook w:val="04A0" w:firstRow="1" w:lastRow="0" w:firstColumn="1" w:lastColumn="0" w:noHBand="0" w:noVBand="1"/>
      </w:tblPr>
      <w:tblGrid>
        <w:gridCol w:w="1969"/>
        <w:gridCol w:w="7670"/>
      </w:tblGrid>
      <w:tr w:rsidR="00822D41" w14:paraId="2F3C6A06" w14:textId="77777777" w:rsidTr="00822D41">
        <w:trPr>
          <w:trHeight w:val="2630"/>
        </w:trPr>
        <w:tc>
          <w:tcPr>
            <w:tcW w:w="1969" w:type="dxa"/>
            <w:tcBorders>
              <w:top w:val="nil"/>
              <w:left w:val="nil"/>
              <w:bottom w:val="nil"/>
              <w:right w:val="nil"/>
            </w:tcBorders>
          </w:tcPr>
          <w:p w14:paraId="2EB6DAA0" w14:textId="34F7DA80" w:rsidR="00822D41" w:rsidRDefault="00822D41" w:rsidP="00053043">
            <w:pPr>
              <w:pStyle w:val="Paragraphedeliste"/>
              <w:ind w:left="0"/>
              <w:rPr>
                <w:b/>
                <w:smallCaps/>
                <w:color w:val="31849B" w:themeColor="accent5" w:themeShade="BF"/>
                <w:sz w:val="24"/>
                <w:szCs w:val="24"/>
              </w:rPr>
            </w:pPr>
            <w:r>
              <w:rPr>
                <w:noProof/>
                <w:lang w:eastAsia="fr-FR"/>
              </w:rPr>
              <w:drawing>
                <wp:inline distT="0" distB="0" distL="0" distR="0" wp14:anchorId="23862CDB" wp14:editId="6D73848E">
                  <wp:extent cx="900000" cy="1566000"/>
                  <wp:effectExtent l="0" t="0" r="0" b="0"/>
                  <wp:docPr id="8" name="Image 8" descr="C:\Users\CHIPEAU\Desktop\Modeles-Char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PEAU\Desktop\Modeles-Chart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1566000"/>
                          </a:xfrm>
                          <a:prstGeom prst="rect">
                            <a:avLst/>
                          </a:prstGeom>
                          <a:noFill/>
                          <a:ln>
                            <a:noFill/>
                          </a:ln>
                        </pic:spPr>
                      </pic:pic>
                    </a:graphicData>
                  </a:graphic>
                </wp:inline>
              </w:drawing>
            </w:r>
          </w:p>
          <w:p w14:paraId="1FEF23B8" w14:textId="50E6B718" w:rsidR="00822D41" w:rsidRDefault="00822D41" w:rsidP="00053043">
            <w:pPr>
              <w:pStyle w:val="Paragraphedeliste"/>
              <w:ind w:left="0"/>
              <w:rPr>
                <w:b/>
                <w:smallCaps/>
                <w:color w:val="31849B" w:themeColor="accent5" w:themeShade="BF"/>
                <w:sz w:val="24"/>
                <w:szCs w:val="24"/>
              </w:rPr>
            </w:pPr>
          </w:p>
        </w:tc>
        <w:tc>
          <w:tcPr>
            <w:tcW w:w="7670" w:type="dxa"/>
            <w:tcBorders>
              <w:top w:val="nil"/>
              <w:left w:val="nil"/>
              <w:bottom w:val="nil"/>
              <w:right w:val="nil"/>
            </w:tcBorders>
          </w:tcPr>
          <w:p w14:paraId="186D9508" w14:textId="6D063E29" w:rsidR="00822D41" w:rsidRDefault="00822D41" w:rsidP="00822D41">
            <w:pPr>
              <w:shd w:val="clear" w:color="auto" w:fill="B6DDE8" w:themeFill="accent5" w:themeFillTint="66"/>
              <w:rPr>
                <w:b/>
                <w:sz w:val="40"/>
                <w:szCs w:val="40"/>
              </w:rPr>
            </w:pPr>
          </w:p>
          <w:p w14:paraId="5DB80CAC" w14:textId="77777777" w:rsidR="00FD09E6" w:rsidRDefault="00822D41" w:rsidP="007E7059">
            <w:pPr>
              <w:shd w:val="clear" w:color="auto" w:fill="B6DDE8" w:themeFill="accent5" w:themeFillTint="66"/>
              <w:jc w:val="center"/>
              <w:rPr>
                <w:b/>
                <w:sz w:val="40"/>
                <w:szCs w:val="40"/>
              </w:rPr>
            </w:pPr>
            <w:r w:rsidRPr="00803DF6">
              <w:rPr>
                <w:b/>
                <w:sz w:val="40"/>
                <w:szCs w:val="40"/>
              </w:rPr>
              <w:t>Appel à projets</w:t>
            </w:r>
            <w:r w:rsidR="00D128E9">
              <w:rPr>
                <w:b/>
                <w:sz w:val="40"/>
                <w:szCs w:val="40"/>
              </w:rPr>
              <w:t xml:space="preserve"> 2023 </w:t>
            </w:r>
          </w:p>
          <w:p w14:paraId="5EC47402" w14:textId="69899222" w:rsidR="00822D41" w:rsidRDefault="00D128E9" w:rsidP="007E7059">
            <w:pPr>
              <w:shd w:val="clear" w:color="auto" w:fill="B6DDE8" w:themeFill="accent5" w:themeFillTint="66"/>
              <w:jc w:val="center"/>
              <w:rPr>
                <w:b/>
                <w:sz w:val="40"/>
                <w:szCs w:val="40"/>
              </w:rPr>
            </w:pPr>
            <w:r>
              <w:rPr>
                <w:b/>
                <w:sz w:val="40"/>
                <w:szCs w:val="40"/>
              </w:rPr>
              <w:t xml:space="preserve">Externalisation </w:t>
            </w:r>
            <w:r w:rsidR="00A57245">
              <w:rPr>
                <w:b/>
                <w:sz w:val="40"/>
                <w:szCs w:val="40"/>
              </w:rPr>
              <w:t xml:space="preserve">des </w:t>
            </w:r>
            <w:r>
              <w:rPr>
                <w:b/>
                <w:sz w:val="40"/>
                <w:szCs w:val="40"/>
              </w:rPr>
              <w:t>évaluation</w:t>
            </w:r>
            <w:r w:rsidR="00A57245">
              <w:rPr>
                <w:b/>
                <w:sz w:val="40"/>
                <w:szCs w:val="40"/>
              </w:rPr>
              <w:t>s</w:t>
            </w:r>
            <w:r>
              <w:rPr>
                <w:b/>
                <w:sz w:val="40"/>
                <w:szCs w:val="40"/>
              </w:rPr>
              <w:t xml:space="preserve"> de la minorité et de l’isolement </w:t>
            </w:r>
            <w:r w:rsidR="007E7059">
              <w:rPr>
                <w:b/>
                <w:sz w:val="40"/>
                <w:szCs w:val="40"/>
              </w:rPr>
              <w:t>des personnes se déclarant MNA</w:t>
            </w:r>
          </w:p>
          <w:p w14:paraId="553A5F34" w14:textId="5329F411" w:rsidR="007E7059" w:rsidRDefault="007E7059" w:rsidP="007E7059">
            <w:pPr>
              <w:shd w:val="clear" w:color="auto" w:fill="B6DDE8" w:themeFill="accent5" w:themeFillTint="66"/>
              <w:jc w:val="center"/>
              <w:rPr>
                <w:b/>
                <w:sz w:val="40"/>
                <w:szCs w:val="40"/>
              </w:rPr>
            </w:pPr>
          </w:p>
          <w:p w14:paraId="0B85231F" w14:textId="77777777" w:rsidR="007E7059" w:rsidRPr="007E7059" w:rsidRDefault="007E7059" w:rsidP="007E7059">
            <w:pPr>
              <w:shd w:val="clear" w:color="auto" w:fill="B6DDE8" w:themeFill="accent5" w:themeFillTint="66"/>
              <w:jc w:val="center"/>
              <w:rPr>
                <w:b/>
                <w:sz w:val="40"/>
                <w:szCs w:val="40"/>
              </w:rPr>
            </w:pPr>
          </w:p>
          <w:p w14:paraId="3439FA19" w14:textId="0EE1D5BA" w:rsidR="00822D41" w:rsidRDefault="00822D41" w:rsidP="00053043">
            <w:pPr>
              <w:pStyle w:val="Paragraphedeliste"/>
              <w:ind w:left="0"/>
              <w:rPr>
                <w:b/>
                <w:smallCaps/>
                <w:color w:val="31849B" w:themeColor="accent5" w:themeShade="BF"/>
                <w:sz w:val="24"/>
                <w:szCs w:val="24"/>
              </w:rPr>
            </w:pPr>
          </w:p>
        </w:tc>
      </w:tr>
    </w:tbl>
    <w:p w14:paraId="1DA2A213" w14:textId="77777777" w:rsidR="00822D41" w:rsidRDefault="00822D41" w:rsidP="00053043">
      <w:pPr>
        <w:pStyle w:val="Paragraphedeliste"/>
        <w:rPr>
          <w:b/>
          <w:smallCaps/>
          <w:color w:val="31849B" w:themeColor="accent5" w:themeShade="BF"/>
          <w:sz w:val="24"/>
          <w:szCs w:val="24"/>
        </w:rPr>
      </w:pPr>
    </w:p>
    <w:p w14:paraId="53BA749E" w14:textId="0F6BEE70" w:rsidR="00053043" w:rsidRDefault="00053043" w:rsidP="00053043">
      <w:pPr>
        <w:pStyle w:val="Paragraphedeliste"/>
        <w:rPr>
          <w:b/>
          <w:smallCaps/>
          <w:color w:val="31849B" w:themeColor="accent5" w:themeShade="BF"/>
          <w:sz w:val="24"/>
          <w:szCs w:val="24"/>
        </w:rPr>
      </w:pPr>
    </w:p>
    <w:p w14:paraId="3AA6EF04" w14:textId="77777777" w:rsidR="00552749" w:rsidRDefault="00552749" w:rsidP="00053043">
      <w:pPr>
        <w:pStyle w:val="Paragraphedeliste"/>
        <w:rPr>
          <w:b/>
          <w:smallCaps/>
          <w:color w:val="31849B" w:themeColor="accent5" w:themeShade="BF"/>
          <w:sz w:val="24"/>
          <w:szCs w:val="24"/>
        </w:rPr>
      </w:pPr>
    </w:p>
    <w:p w14:paraId="0EB1D660" w14:textId="6333301C" w:rsidR="00E71E23" w:rsidRPr="00507593" w:rsidRDefault="00507593" w:rsidP="00DD6002">
      <w:pPr>
        <w:pStyle w:val="Paragraphedeliste"/>
        <w:numPr>
          <w:ilvl w:val="0"/>
          <w:numId w:val="11"/>
        </w:numPr>
        <w:rPr>
          <w:rFonts w:ascii="Calibri" w:hAnsi="Calibri" w:cs="Calibri"/>
          <w:b/>
          <w:smallCaps/>
          <w:sz w:val="28"/>
          <w:szCs w:val="28"/>
        </w:rPr>
      </w:pPr>
      <w:r w:rsidRPr="00507593">
        <w:rPr>
          <w:rFonts w:ascii="Calibri" w:hAnsi="Calibri" w:cs="Calibri"/>
          <w:b/>
          <w:smallCaps/>
          <w:sz w:val="28"/>
          <w:szCs w:val="28"/>
        </w:rPr>
        <w:t>Contexte et cadre réglem</w:t>
      </w:r>
      <w:r>
        <w:rPr>
          <w:rFonts w:ascii="Calibri" w:hAnsi="Calibri" w:cs="Calibri"/>
          <w:b/>
          <w:smallCaps/>
          <w:sz w:val="28"/>
          <w:szCs w:val="28"/>
        </w:rPr>
        <w:t>en</w:t>
      </w:r>
      <w:r w:rsidRPr="00507593">
        <w:rPr>
          <w:rFonts w:ascii="Calibri" w:hAnsi="Calibri" w:cs="Calibri"/>
          <w:b/>
          <w:smallCaps/>
          <w:sz w:val="28"/>
          <w:szCs w:val="28"/>
        </w:rPr>
        <w:t>taire</w:t>
      </w:r>
    </w:p>
    <w:p w14:paraId="091073E5" w14:textId="77777777" w:rsidR="00FD7F6A" w:rsidRDefault="00FD7F6A" w:rsidP="00FD7F6A">
      <w:pPr>
        <w:spacing w:after="120"/>
        <w:jc w:val="both"/>
      </w:pPr>
      <w:r>
        <w:t>L’article L. 221-1 du Code de l’Action Sociale et des Familles définit les missions de l’Aide Sociale à l’Enfance et l’article L. 112-3 du CASF précise que « La protection de l'enfance vise à garantir la prise en compte des besoins fondamentaux de l'enfant, à soutenir son développement physique, affectif, intellectuel et social et à préserver sa santé, sa sécurité, sa moralité et son éducation, dans le respect de ses droits. »</w:t>
      </w:r>
    </w:p>
    <w:p w14:paraId="44D69D54" w14:textId="2BFB4EE0" w:rsidR="000F4188" w:rsidRDefault="00FD7F6A" w:rsidP="00FD7F6A">
      <w:pPr>
        <w:spacing w:after="120"/>
        <w:jc w:val="both"/>
      </w:pPr>
      <w:r>
        <w:t>Concernant plus spécifiquement les mineurs non accompagnés, l’article L.111 -2 du CASF précise que les personnes de nationalité étrangère peuvent bénéficier des prestations d’Aide Sociale à l’Enfance.</w:t>
      </w:r>
      <w:r w:rsidR="00E71E23">
        <w:t xml:space="preserve"> </w:t>
      </w:r>
    </w:p>
    <w:p w14:paraId="34364D9C" w14:textId="66041BD6" w:rsidR="00AE53FE" w:rsidRDefault="00175D0B" w:rsidP="00B86532">
      <w:pPr>
        <w:spacing w:after="120"/>
        <w:jc w:val="both"/>
      </w:pPr>
      <w:r>
        <w:t>Les articles L.221-2-2,</w:t>
      </w:r>
      <w:r w:rsidR="00AE53FE">
        <w:t xml:space="preserve"> </w:t>
      </w:r>
      <w:r>
        <w:t>L223-2,</w:t>
      </w:r>
      <w:r w:rsidR="00193884">
        <w:t xml:space="preserve"> </w:t>
      </w:r>
      <w:r>
        <w:t>R.221-11 et R.221-15-1 et suivants du CA</w:t>
      </w:r>
      <w:r w:rsidR="00AE53FE">
        <w:t>SF stipulent que le Président du Conseil Départemental du lieu où se trouve une personne se déclarant mineure et privée temporairement ou définitivement de la protection de sa famille doit mettre en place un accueil provisoire d’</w:t>
      </w:r>
      <w:r w:rsidR="00DD6002">
        <w:t>urgence di</w:t>
      </w:r>
      <w:r w:rsidR="00AE53FE">
        <w:t xml:space="preserve">t « mise à l’abri » et </w:t>
      </w:r>
      <w:r w:rsidR="00AE53FE" w:rsidRPr="00193884">
        <w:t>faire procéder à l’évaluation de sa situation</w:t>
      </w:r>
      <w:r w:rsidR="00DD6002" w:rsidRPr="00193884">
        <w:t>.</w:t>
      </w:r>
    </w:p>
    <w:p w14:paraId="46ACC8F8" w14:textId="28FFB911" w:rsidR="00193884" w:rsidRDefault="00193884" w:rsidP="00B86532">
      <w:pPr>
        <w:spacing w:after="120"/>
        <w:jc w:val="both"/>
      </w:pPr>
      <w:r>
        <w:t xml:space="preserve">L’arrêté du 20 novembre 2019 pris en application de l’article R. 221-11 </w:t>
      </w:r>
      <w:r w:rsidR="00FD7F6A">
        <w:t xml:space="preserve">du CASF </w:t>
      </w:r>
      <w:r>
        <w:t>définit les modalités de l’évaluation de la minorité et de l’isolement familial des personnes se déclarant mineures et privées temporairement ou définitivement de la protection de leur famille.</w:t>
      </w:r>
    </w:p>
    <w:p w14:paraId="6DDB3196" w14:textId="64D4669B" w:rsidR="00552749" w:rsidRDefault="00552749" w:rsidP="00B86532">
      <w:pPr>
        <w:spacing w:after="120"/>
        <w:jc w:val="both"/>
      </w:pPr>
      <w:r w:rsidRPr="00552749">
        <w:t>Il s’</w:t>
      </w:r>
      <w:r w:rsidR="00B65AEC">
        <w:t>agit</w:t>
      </w:r>
      <w:r w:rsidR="00112FC2">
        <w:t xml:space="preserve"> donc</w:t>
      </w:r>
      <w:r w:rsidR="00B65AEC">
        <w:t xml:space="preserve"> à tr</w:t>
      </w:r>
      <w:r w:rsidR="00C00AD9">
        <w:t>avers</w:t>
      </w:r>
      <w:r w:rsidR="00B65AEC">
        <w:t xml:space="preserve"> cet</w:t>
      </w:r>
      <w:r w:rsidRPr="00552749">
        <w:t xml:space="preserve"> appel à projet</w:t>
      </w:r>
      <w:r w:rsidR="00112FC2">
        <w:t>,</w:t>
      </w:r>
      <w:r w:rsidRPr="00552749">
        <w:t xml:space="preserve"> d’</w:t>
      </w:r>
      <w:r w:rsidR="00D128E9">
        <w:t>externaliser</w:t>
      </w:r>
      <w:r w:rsidR="00FD7F6A">
        <w:t xml:space="preserve"> </w:t>
      </w:r>
      <w:r w:rsidR="00FD7F6A" w:rsidRPr="00BA6881">
        <w:t>tout ou partie (selon le flux)</w:t>
      </w:r>
      <w:r w:rsidR="00D128E9" w:rsidRPr="00BA6881">
        <w:t xml:space="preserve"> </w:t>
      </w:r>
      <w:r w:rsidR="00FD7F6A">
        <w:t>d</w:t>
      </w:r>
      <w:r w:rsidR="00D128E9">
        <w:t xml:space="preserve">es évaluations de </w:t>
      </w:r>
      <w:r w:rsidR="00547765">
        <w:t>minorité et d’isolement réalisées</w:t>
      </w:r>
      <w:r w:rsidR="00D128E9">
        <w:t xml:space="preserve"> actuellement par les professionnels de la cellule MNA.</w:t>
      </w:r>
    </w:p>
    <w:p w14:paraId="281E151F" w14:textId="77777777" w:rsidR="00F32AE9" w:rsidRDefault="00F32AE9" w:rsidP="00B86532">
      <w:pPr>
        <w:spacing w:after="120"/>
        <w:jc w:val="both"/>
      </w:pPr>
    </w:p>
    <w:p w14:paraId="36213CB7" w14:textId="4AA1880C" w:rsidR="00507593" w:rsidRPr="00507593" w:rsidRDefault="00507593" w:rsidP="00DD6002">
      <w:pPr>
        <w:pStyle w:val="Paragraphedeliste"/>
        <w:numPr>
          <w:ilvl w:val="0"/>
          <w:numId w:val="11"/>
        </w:numPr>
        <w:rPr>
          <w:rFonts w:ascii="Calibri" w:hAnsi="Calibri" w:cs="Calibri"/>
          <w:b/>
          <w:smallCaps/>
          <w:sz w:val="28"/>
          <w:szCs w:val="28"/>
        </w:rPr>
      </w:pPr>
      <w:r>
        <w:rPr>
          <w:rFonts w:ascii="Calibri" w:hAnsi="Calibri" w:cs="Calibri"/>
          <w:b/>
          <w:smallCaps/>
          <w:sz w:val="28"/>
          <w:szCs w:val="28"/>
        </w:rPr>
        <w:t>Définition et objectifs généraux</w:t>
      </w:r>
    </w:p>
    <w:p w14:paraId="53BA74A5" w14:textId="4AA58035" w:rsidR="0090636E" w:rsidRPr="004563C5" w:rsidRDefault="001616DD" w:rsidP="0090636E">
      <w:pPr>
        <w:pStyle w:val="Paragraphedeliste"/>
        <w:jc w:val="both"/>
        <w:rPr>
          <w:b/>
          <w:smallCaps/>
          <w:color w:val="31849B" w:themeColor="accent5" w:themeShade="BF"/>
          <w:sz w:val="24"/>
          <w:szCs w:val="24"/>
        </w:rPr>
      </w:pPr>
      <w:r>
        <w:rPr>
          <w:b/>
          <w:smallCaps/>
          <w:color w:val="31849B" w:themeColor="accent5" w:themeShade="BF"/>
          <w:sz w:val="24"/>
          <w:szCs w:val="24"/>
        </w:rPr>
        <w:t>2.1 définition</w:t>
      </w:r>
    </w:p>
    <w:p w14:paraId="2851FCFB" w14:textId="0344F33F" w:rsidR="00F32AE9" w:rsidRDefault="00FD7F6A" w:rsidP="005B0078">
      <w:pPr>
        <w:spacing w:after="120"/>
        <w:jc w:val="both"/>
      </w:pPr>
      <w:r w:rsidRPr="00BA6881">
        <w:t xml:space="preserve">D’après l’article R. 221-11 du CASF </w:t>
      </w:r>
      <w:r w:rsidR="00F32AE9" w:rsidRPr="00BA6881">
        <w:t xml:space="preserve">L’évaluation </w:t>
      </w:r>
      <w:r w:rsidR="00F32AE9">
        <w:t>a pour objectif principal d’émettre un avis et d’éclairer la décision</w:t>
      </w:r>
      <w:r w:rsidR="00C00AD9">
        <w:t xml:space="preserve"> du Président du Conseil Départemental ou </w:t>
      </w:r>
      <w:r w:rsidR="00F32AE9">
        <w:t xml:space="preserve">du Procureur de la République. </w:t>
      </w:r>
    </w:p>
    <w:p w14:paraId="740CF945" w14:textId="35803986" w:rsidR="00D128E9" w:rsidRPr="00DA59A1" w:rsidRDefault="00D128E9" w:rsidP="005B0078">
      <w:pPr>
        <w:spacing w:after="120"/>
        <w:jc w:val="both"/>
      </w:pPr>
      <w:r>
        <w:t>L’évaluation de la minorité et de l’isolement doit se faire dans le respect de la dig</w:t>
      </w:r>
      <w:r w:rsidR="00C00AD9">
        <w:t>nité humaine, en s’inspirant du guide des bonnes pratiques en matière d</w:t>
      </w:r>
      <w:r w:rsidR="00547765">
        <w:t>’évaluation et de la minorité publié en d</w:t>
      </w:r>
      <w:r w:rsidR="00C00AD9">
        <w:t xml:space="preserve">écembre </w:t>
      </w:r>
      <w:r w:rsidR="00C00AD9" w:rsidRPr="00DA59A1">
        <w:t>2019</w:t>
      </w:r>
      <w:r w:rsidR="00FD7F6A" w:rsidRPr="00DA59A1">
        <w:t xml:space="preserve"> </w:t>
      </w:r>
      <w:r w:rsidR="00DA59A1" w:rsidRPr="00DA59A1">
        <w:t>par le ministère des solidarités et des familles.</w:t>
      </w:r>
    </w:p>
    <w:p w14:paraId="21C83427" w14:textId="77777777" w:rsidR="00005DB3" w:rsidRDefault="00005DB3" w:rsidP="005B0078">
      <w:pPr>
        <w:spacing w:after="120"/>
        <w:jc w:val="both"/>
      </w:pPr>
    </w:p>
    <w:p w14:paraId="10CFBCF8" w14:textId="7CE83921" w:rsidR="00A57245" w:rsidRDefault="00A57245" w:rsidP="005B0078">
      <w:pPr>
        <w:spacing w:after="120"/>
        <w:jc w:val="both"/>
      </w:pPr>
      <w:r>
        <w:lastRenderedPageBreak/>
        <w:t xml:space="preserve">La personne se présentant comme Mineur Non Accompagné doit bénéficier d’une évaluation dans une procédure respectant les règles suivantes : </w:t>
      </w:r>
    </w:p>
    <w:p w14:paraId="402DDB01" w14:textId="49D6117F" w:rsidR="00547765" w:rsidRDefault="006C6AC3" w:rsidP="00547765">
      <w:pPr>
        <w:pStyle w:val="Textebrut"/>
        <w:numPr>
          <w:ilvl w:val="0"/>
          <w:numId w:val="13"/>
        </w:numPr>
      </w:pPr>
      <w:r>
        <w:t>L</w:t>
      </w:r>
      <w:r w:rsidR="00547765">
        <w:t xml:space="preserve">e ou </w:t>
      </w:r>
      <w:r>
        <w:t>les entretiens</w:t>
      </w:r>
      <w:r w:rsidR="00547765">
        <w:t xml:space="preserve"> </w:t>
      </w:r>
      <w:r>
        <w:t>sont réalisés</w:t>
      </w:r>
      <w:r w:rsidR="00547765">
        <w:t xml:space="preserve"> dans une langue comprise et maitrisé</w:t>
      </w:r>
      <w:r>
        <w:t>e par l'intéressé (faire appel à</w:t>
      </w:r>
      <w:r w:rsidR="00547765">
        <w:t xml:space="preserve"> un service de traduction le cas échéant)</w:t>
      </w:r>
    </w:p>
    <w:p w14:paraId="3A378384" w14:textId="5B700F11" w:rsidR="00547765" w:rsidRDefault="006C6AC3" w:rsidP="00841783">
      <w:pPr>
        <w:pStyle w:val="Textebrut"/>
        <w:numPr>
          <w:ilvl w:val="0"/>
          <w:numId w:val="13"/>
        </w:numPr>
      </w:pPr>
      <w:r>
        <w:t>L</w:t>
      </w:r>
      <w:r w:rsidR="00547765">
        <w:t>e ou les entretiens doivent être menés par des professionnels formés dans le cadre d'une approche pluridisciplinaire</w:t>
      </w:r>
    </w:p>
    <w:p w14:paraId="7EBD23BC" w14:textId="5696618E" w:rsidR="00547765" w:rsidRDefault="006C6AC3" w:rsidP="00841783">
      <w:pPr>
        <w:pStyle w:val="Textebrut"/>
        <w:numPr>
          <w:ilvl w:val="0"/>
          <w:numId w:val="13"/>
        </w:numPr>
      </w:pPr>
      <w:r>
        <w:t>L</w:t>
      </w:r>
      <w:r w:rsidR="00547765">
        <w:t>e rapport d'évaluation doit inclure les informations transmises par la Préfecture dans le cadr</w:t>
      </w:r>
      <w:r>
        <w:t>e du protocole signé entre le Conseil Départemental</w:t>
      </w:r>
      <w:r w:rsidR="00547765">
        <w:t xml:space="preserve">, la </w:t>
      </w:r>
      <w:r>
        <w:t>Préfecture</w:t>
      </w:r>
      <w:r w:rsidR="00547765">
        <w:t xml:space="preserve">, la justice (AEM, </w:t>
      </w:r>
      <w:r>
        <w:t>vérifications documentaires</w:t>
      </w:r>
      <w:r w:rsidR="00547765">
        <w:t>)</w:t>
      </w:r>
    </w:p>
    <w:p w14:paraId="73E4B32D" w14:textId="77777777" w:rsidR="00547765" w:rsidRDefault="00547765" w:rsidP="005B0078">
      <w:pPr>
        <w:spacing w:after="120"/>
        <w:jc w:val="both"/>
      </w:pPr>
    </w:p>
    <w:p w14:paraId="2CCD2A63" w14:textId="2E44AB4D" w:rsidR="0053078B" w:rsidRDefault="00A57245" w:rsidP="001616DD">
      <w:pPr>
        <w:spacing w:after="120"/>
        <w:jc w:val="both"/>
      </w:pPr>
      <w:r>
        <w:t>L’évaluation s’appuie sur un fais</w:t>
      </w:r>
      <w:r w:rsidR="006C6AC3">
        <w:t>ceau d’indices qui inclut l</w:t>
      </w:r>
      <w:r w:rsidR="00841783">
        <w:t>e rapport d’évaluation</w:t>
      </w:r>
      <w:r w:rsidR="006C6AC3">
        <w:t xml:space="preserve"> réalisé</w:t>
      </w:r>
      <w:r w:rsidR="00841783">
        <w:t xml:space="preserve"> par des professionnels</w:t>
      </w:r>
      <w:r w:rsidR="006C6AC3">
        <w:t>, l</w:t>
      </w:r>
      <w:r>
        <w:t>es informations communiquées par la préfecture</w:t>
      </w:r>
      <w:r w:rsidR="00005DB3">
        <w:t xml:space="preserve"> dans le cadre du dispositif d’Appui à l’Evaluation de Minorit</w:t>
      </w:r>
      <w:r w:rsidR="006C6AC3">
        <w:t>é, l</w:t>
      </w:r>
      <w:r>
        <w:t>es conclusions des exa</w:t>
      </w:r>
      <w:r w:rsidR="00005DB3">
        <w:t>mens radiologiques d’âge osseux ordonnés par le tribunal.</w:t>
      </w:r>
    </w:p>
    <w:p w14:paraId="1B6C7361" w14:textId="77777777" w:rsidR="001616DD" w:rsidRDefault="001616DD" w:rsidP="001616DD">
      <w:pPr>
        <w:spacing w:after="120"/>
        <w:jc w:val="both"/>
      </w:pPr>
    </w:p>
    <w:p w14:paraId="53BA74B1" w14:textId="4B4A346F" w:rsidR="00C1021E" w:rsidRPr="001616DD" w:rsidRDefault="001616DD" w:rsidP="001616DD">
      <w:pPr>
        <w:pStyle w:val="Paragraphedeliste"/>
        <w:numPr>
          <w:ilvl w:val="1"/>
          <w:numId w:val="11"/>
        </w:numPr>
        <w:spacing w:line="240" w:lineRule="auto"/>
        <w:jc w:val="both"/>
        <w:rPr>
          <w:b/>
          <w:smallCaps/>
          <w:sz w:val="24"/>
          <w:szCs w:val="24"/>
        </w:rPr>
      </w:pPr>
      <w:r>
        <w:rPr>
          <w:b/>
          <w:smallCaps/>
          <w:sz w:val="24"/>
          <w:szCs w:val="24"/>
        </w:rPr>
        <w:t>Objectifs generaux</w:t>
      </w:r>
      <w:r w:rsidRPr="001616DD">
        <w:rPr>
          <w:b/>
          <w:smallCaps/>
          <w:sz w:val="24"/>
          <w:szCs w:val="24"/>
        </w:rPr>
        <w:t xml:space="preserve"> </w:t>
      </w:r>
    </w:p>
    <w:p w14:paraId="0DC42847" w14:textId="611F6260" w:rsidR="00A24514" w:rsidRDefault="00A24514" w:rsidP="00A24514">
      <w:pPr>
        <w:spacing w:line="240" w:lineRule="auto"/>
        <w:jc w:val="both"/>
      </w:pPr>
      <w:r>
        <w:t>L’évaluation est réalisée par un évaluateur, selon une grille d’évaluation</w:t>
      </w:r>
      <w:r w:rsidR="00005DB3">
        <w:t xml:space="preserve"> (voir annexe)</w:t>
      </w:r>
      <w:r>
        <w:t>, au travers d’un ou plusieurs entretiens (selon les besoins) avec la personne se présentant comme MNA et d’éventuels contacts téléphoniques avec la famille au pays ou l’entourage du jeune.</w:t>
      </w:r>
    </w:p>
    <w:p w14:paraId="1B9E8ED4" w14:textId="4A415B39" w:rsidR="00F12665" w:rsidRDefault="00A24514" w:rsidP="00A24514">
      <w:pPr>
        <w:spacing w:line="240" w:lineRule="auto"/>
        <w:jc w:val="both"/>
      </w:pPr>
      <w:r>
        <w:t xml:space="preserve">Elle rend compte de l’analyse de l’évaluateur </w:t>
      </w:r>
      <w:r w:rsidR="00492035">
        <w:t xml:space="preserve">sur le parcours de la personne se présentant comme </w:t>
      </w:r>
      <w:r w:rsidR="00005DB3">
        <w:t>MNA,</w:t>
      </w:r>
      <w:r>
        <w:t xml:space="preserve"> de la cohérence</w:t>
      </w:r>
      <w:r w:rsidR="00492035">
        <w:t xml:space="preserve"> et de </w:t>
      </w:r>
      <w:r w:rsidR="00FD7F6A">
        <w:t>l’authenticité de</w:t>
      </w:r>
      <w:r>
        <w:t xml:space="preserve"> son</w:t>
      </w:r>
      <w:r w:rsidR="00492035">
        <w:t xml:space="preserve"> discours</w:t>
      </w:r>
      <w:r w:rsidR="00F12665">
        <w:t>, de la validité des documents d’identité.</w:t>
      </w:r>
    </w:p>
    <w:p w14:paraId="1D8A7141" w14:textId="42F5204E" w:rsidR="001616DD" w:rsidRDefault="00F12665" w:rsidP="00A24514">
      <w:pPr>
        <w:spacing w:line="240" w:lineRule="auto"/>
        <w:jc w:val="both"/>
      </w:pPr>
      <w:r w:rsidRPr="00FD09E6">
        <w:t>Si le parquet décide de réquisitions d’âge osseux,</w:t>
      </w:r>
      <w:r w:rsidR="00FD7F6A" w:rsidRPr="00FD09E6">
        <w:t xml:space="preserve"> le service en informe le jeune et</w:t>
      </w:r>
      <w:r w:rsidRPr="00FD09E6">
        <w:t xml:space="preserve"> lui en explicite le sens.</w:t>
      </w:r>
      <w:r w:rsidR="00DA59A1">
        <w:t xml:space="preserve"> </w:t>
      </w:r>
    </w:p>
    <w:p w14:paraId="01494028" w14:textId="67408BAB" w:rsidR="00F12665" w:rsidRDefault="00F12665" w:rsidP="00A24514">
      <w:pPr>
        <w:spacing w:line="240" w:lineRule="auto"/>
        <w:jc w:val="both"/>
      </w:pPr>
      <w:r>
        <w:t>Le premier entretien doit avoir lieu dans les jours qui suivent l’arrivée de la personne se déclara</w:t>
      </w:r>
      <w:r w:rsidR="00005DB3">
        <w:t>nt MNA au Conseil Départemental, sachant que la personne doit bénéficier d’un temps de répit avant son évaluation.</w:t>
      </w:r>
    </w:p>
    <w:p w14:paraId="72F4261F" w14:textId="6303E2BF" w:rsidR="00F12665" w:rsidRDefault="00F12665" w:rsidP="00A24514">
      <w:pPr>
        <w:spacing w:line="240" w:lineRule="auto"/>
        <w:jc w:val="both"/>
      </w:pPr>
      <w:r>
        <w:t>Il incombe au service retenu de prendre toutes les dispositions d’organisation pour s’adapter au nombre d’évaluations à assurer, y compris en cas d’arrivées nombreuses.</w:t>
      </w:r>
    </w:p>
    <w:p w14:paraId="505168DD" w14:textId="0CF2725B" w:rsidR="00F12665" w:rsidRDefault="00F12665" w:rsidP="00A24514">
      <w:pPr>
        <w:spacing w:line="240" w:lineRule="auto"/>
        <w:jc w:val="both"/>
      </w:pPr>
      <w:r>
        <w:t>Lors du premier entretien, l’évaluateur présente la procédure d’évaluation, ainsi que l’issue de cette évaluation et les conséquences (maintien dans le département des Vosges ou orientation vers un autre département s’il la personne est déclaré mineur, Orientation vers les dispositifs de droit commun pour les personnes non reconnus mineurs).</w:t>
      </w:r>
    </w:p>
    <w:p w14:paraId="44BECA3C" w14:textId="5C7762DD" w:rsidR="00F12665" w:rsidRDefault="00F12665" w:rsidP="00A24514">
      <w:pPr>
        <w:spacing w:line="240" w:lineRule="auto"/>
        <w:jc w:val="both"/>
      </w:pPr>
      <w:r>
        <w:t>L’évaluation sociale doit aborder explicitement :</w:t>
      </w:r>
    </w:p>
    <w:p w14:paraId="6B189724" w14:textId="1B8ADC15" w:rsidR="00F12665" w:rsidRDefault="00F12665" w:rsidP="00DD6002">
      <w:pPr>
        <w:pStyle w:val="Paragraphedeliste"/>
        <w:numPr>
          <w:ilvl w:val="0"/>
          <w:numId w:val="8"/>
        </w:numPr>
        <w:spacing w:line="240" w:lineRule="auto"/>
        <w:jc w:val="both"/>
      </w:pPr>
      <w:r>
        <w:t>Les éléments permettant de déterminer son</w:t>
      </w:r>
      <w:r w:rsidR="00005DB3">
        <w:t xml:space="preserve"> état civil et/ou son âge.</w:t>
      </w:r>
    </w:p>
    <w:p w14:paraId="700EFA85" w14:textId="1E9EDEE0" w:rsidR="00F12665" w:rsidRDefault="00F12665" w:rsidP="00DD6002">
      <w:pPr>
        <w:pStyle w:val="Paragraphedeliste"/>
        <w:numPr>
          <w:ilvl w:val="0"/>
          <w:numId w:val="8"/>
        </w:numPr>
        <w:spacing w:line="240" w:lineRule="auto"/>
        <w:jc w:val="both"/>
      </w:pPr>
      <w:r>
        <w:t>Les éléments relatifs à son isolement et à son état de vulnérabilité.</w:t>
      </w:r>
    </w:p>
    <w:p w14:paraId="4FD8F7E3" w14:textId="1C72C507" w:rsidR="00F12665" w:rsidRDefault="00F12665" w:rsidP="00DD6002">
      <w:pPr>
        <w:pStyle w:val="Paragraphedeliste"/>
        <w:numPr>
          <w:ilvl w:val="0"/>
          <w:numId w:val="8"/>
        </w:numPr>
        <w:spacing w:line="240" w:lineRule="auto"/>
        <w:jc w:val="both"/>
      </w:pPr>
      <w:r>
        <w:t>Les éléments de son projet personnel émergeant lors de l’entretien.</w:t>
      </w:r>
    </w:p>
    <w:p w14:paraId="79FD68FE" w14:textId="647A873D" w:rsidR="00F12665" w:rsidRDefault="00F12665" w:rsidP="00DD6002">
      <w:pPr>
        <w:pStyle w:val="Paragraphedeliste"/>
        <w:numPr>
          <w:ilvl w:val="0"/>
          <w:numId w:val="8"/>
        </w:numPr>
        <w:spacing w:line="240" w:lineRule="auto"/>
        <w:jc w:val="both"/>
      </w:pPr>
      <w:r>
        <w:t xml:space="preserve">Les éléments relevés qui </w:t>
      </w:r>
      <w:r w:rsidR="00FC7918">
        <w:t>corrobore ou</w:t>
      </w:r>
      <w:r>
        <w:t xml:space="preserve"> non la minorité alléguée et/ou l’isolement. </w:t>
      </w:r>
    </w:p>
    <w:p w14:paraId="4BA32852" w14:textId="393532D0" w:rsidR="009735A6" w:rsidRDefault="009735A6" w:rsidP="00DD6002">
      <w:pPr>
        <w:pStyle w:val="Paragraphedeliste"/>
        <w:numPr>
          <w:ilvl w:val="0"/>
          <w:numId w:val="8"/>
        </w:numPr>
        <w:spacing w:line="240" w:lineRule="auto"/>
        <w:jc w:val="both"/>
      </w:pPr>
      <w:r>
        <w:t xml:space="preserve">Un point de vigilance doit être observé pour les problématiques de santé, la traite des êtres humains et l’asile. </w:t>
      </w:r>
    </w:p>
    <w:p w14:paraId="77B9B1DC" w14:textId="114F231A" w:rsidR="00FC7918" w:rsidRDefault="00FC7918" w:rsidP="00FC7918">
      <w:pPr>
        <w:spacing w:line="240" w:lineRule="auto"/>
        <w:jc w:val="both"/>
      </w:pPr>
      <w:r>
        <w:t>L’év</w:t>
      </w:r>
      <w:r w:rsidR="009735A6">
        <w:t xml:space="preserve">aluation est menée au cours d’un ou plusieurs </w:t>
      </w:r>
      <w:r>
        <w:t>d’entretiens individuels</w:t>
      </w:r>
      <w:r w:rsidR="009735A6">
        <w:t xml:space="preserve"> espacés d’au moins 24 </w:t>
      </w:r>
      <w:r w:rsidR="006C6AC3">
        <w:t>heures, avec</w:t>
      </w:r>
      <w:r>
        <w:t xml:space="preserve"> l</w:t>
      </w:r>
      <w:r w:rsidR="00344CCE">
        <w:t>a</w:t>
      </w:r>
      <w:r>
        <w:t xml:space="preserve"> personne se présentant comme MNA</w:t>
      </w:r>
    </w:p>
    <w:p w14:paraId="3544EBC9" w14:textId="734ABCD8" w:rsidR="00FC7918" w:rsidRDefault="00FC7918" w:rsidP="00FC7918">
      <w:pPr>
        <w:spacing w:line="240" w:lineRule="auto"/>
        <w:jc w:val="both"/>
      </w:pPr>
      <w:r>
        <w:t xml:space="preserve">Elle se conclut par la production d’un rapport qui restitue le contenu des différents entretiens et qui indique l’avis motivé de l’évaluateur à destination du Président du Conseil Départemental. </w:t>
      </w:r>
    </w:p>
    <w:p w14:paraId="153BAF3F" w14:textId="77777777" w:rsidR="009735A6" w:rsidRDefault="009735A6" w:rsidP="00FC7918">
      <w:pPr>
        <w:spacing w:line="240" w:lineRule="auto"/>
        <w:jc w:val="both"/>
      </w:pPr>
    </w:p>
    <w:p w14:paraId="632F08E4" w14:textId="4CBFC370" w:rsidR="00FC7918" w:rsidRDefault="00344CCE" w:rsidP="00FC7918">
      <w:pPr>
        <w:spacing w:line="240" w:lineRule="auto"/>
        <w:jc w:val="both"/>
      </w:pPr>
      <w:r>
        <w:lastRenderedPageBreak/>
        <w:t>L’</w:t>
      </w:r>
      <w:r w:rsidR="00FC7918">
        <w:t>avis de l’évaluateur repose sur la concordance et la plausibilité des informations recueillies, complétées les informations des professionnels assurant la prise en charge lors de la mise à l’abri, les informations recueillies auprès de la préfecture</w:t>
      </w:r>
      <w:r w:rsidR="009735A6">
        <w:t xml:space="preserve"> et du commissariat </w:t>
      </w:r>
      <w:r w:rsidR="00FC7918">
        <w:t>dans le cadre de la mise en œuvre du dispositif d’appui à l’évaluation de minorité AEM et su</w:t>
      </w:r>
      <w:r>
        <w:t>r la vérification documentaire effectuée par la Police aux frontières.</w:t>
      </w:r>
    </w:p>
    <w:p w14:paraId="21FD4746" w14:textId="04CDA66B" w:rsidR="00344CCE" w:rsidRDefault="00344CCE" w:rsidP="00FC7918">
      <w:pPr>
        <w:spacing w:line="240" w:lineRule="auto"/>
        <w:jc w:val="both"/>
      </w:pPr>
    </w:p>
    <w:p w14:paraId="1678263A" w14:textId="2BD0AC1A" w:rsidR="00344CCE" w:rsidRDefault="00507593" w:rsidP="00DD6002">
      <w:pPr>
        <w:pStyle w:val="Paragraphedeliste"/>
        <w:numPr>
          <w:ilvl w:val="0"/>
          <w:numId w:val="11"/>
        </w:numPr>
        <w:rPr>
          <w:rFonts w:ascii="Calibri" w:hAnsi="Calibri" w:cs="Calibri"/>
          <w:b/>
          <w:smallCaps/>
          <w:sz w:val="28"/>
          <w:szCs w:val="28"/>
        </w:rPr>
      </w:pPr>
      <w:r>
        <w:rPr>
          <w:rFonts w:ascii="Calibri" w:hAnsi="Calibri" w:cs="Calibri"/>
          <w:b/>
          <w:smallCaps/>
          <w:sz w:val="28"/>
          <w:szCs w:val="28"/>
        </w:rPr>
        <w:t>Le service en charge de l’évaluation</w:t>
      </w:r>
    </w:p>
    <w:p w14:paraId="7F67313E" w14:textId="77777777" w:rsidR="00DD6002" w:rsidRDefault="00DD6002" w:rsidP="00DD6002">
      <w:pPr>
        <w:pStyle w:val="Paragraphedeliste"/>
        <w:ind w:left="644"/>
        <w:rPr>
          <w:rFonts w:ascii="Calibri" w:hAnsi="Calibri" w:cs="Calibri"/>
          <w:b/>
          <w:smallCaps/>
          <w:sz w:val="28"/>
          <w:szCs w:val="28"/>
        </w:rPr>
      </w:pPr>
    </w:p>
    <w:p w14:paraId="5C0635FB" w14:textId="7BED8830" w:rsidR="00A168A4" w:rsidRPr="00507593" w:rsidRDefault="00A168A4" w:rsidP="00A168A4">
      <w:pPr>
        <w:pStyle w:val="Paragraphedeliste"/>
        <w:ind w:left="644"/>
        <w:rPr>
          <w:rFonts w:ascii="Calibri" w:hAnsi="Calibri" w:cs="Calibri"/>
          <w:b/>
          <w:smallCaps/>
          <w:sz w:val="28"/>
          <w:szCs w:val="28"/>
        </w:rPr>
      </w:pPr>
      <w:r>
        <w:rPr>
          <w:rFonts w:ascii="Calibri" w:hAnsi="Calibri" w:cs="Calibri"/>
          <w:b/>
          <w:smallCaps/>
          <w:sz w:val="28"/>
          <w:szCs w:val="28"/>
        </w:rPr>
        <w:t>3.1 Composition de l’équipe - Formation</w:t>
      </w:r>
    </w:p>
    <w:p w14:paraId="5E5B79FB" w14:textId="3A25B804" w:rsidR="00CC6094" w:rsidRDefault="00CC6094" w:rsidP="00FC7918">
      <w:pPr>
        <w:spacing w:line="240" w:lineRule="auto"/>
        <w:jc w:val="both"/>
      </w:pPr>
      <w:r>
        <w:t>Conformément aux dispositions</w:t>
      </w:r>
      <w:r w:rsidR="003C49AC">
        <w:t xml:space="preserve"> de l’article R.221 -11 du CASF ainsi que de l’article 5 de l’arrêté du 20 novembre 2019</w:t>
      </w:r>
      <w:r>
        <w:t xml:space="preserve"> </w:t>
      </w:r>
      <w:r w:rsidR="003C49AC">
        <w:t xml:space="preserve">le </w:t>
      </w:r>
      <w:r>
        <w:t xml:space="preserve">Président du Conseil départemental s’assure que les professionnels en charge de l’évaluation </w:t>
      </w:r>
      <w:r w:rsidRPr="00B16FF4">
        <w:t xml:space="preserve">justifient </w:t>
      </w:r>
      <w:r w:rsidR="00FD7F6A" w:rsidRPr="00B16FF4">
        <w:t xml:space="preserve">ou s’engage à obtenir une qualification </w:t>
      </w:r>
      <w:r w:rsidR="00FD7F6A">
        <w:t xml:space="preserve">et </w:t>
      </w:r>
      <w:r>
        <w:t>une formation leur pe</w:t>
      </w:r>
      <w:r w:rsidR="003C49AC">
        <w:t>rmettant d’exercer leur mission dans les conditions garantissant la prise en compte de l’intérêt supérieur de l’enfant et d’une formation à l’évaluation sociale.</w:t>
      </w:r>
    </w:p>
    <w:p w14:paraId="56ACB9D2" w14:textId="538C75B5" w:rsidR="003C49AC" w:rsidRDefault="003C49AC" w:rsidP="003C49AC">
      <w:pPr>
        <w:spacing w:line="240" w:lineRule="auto"/>
        <w:jc w:val="both"/>
      </w:pPr>
      <w:r>
        <w:t xml:space="preserve">La formation sur l’évaluation porte notamment sur la psychologie de l’enfant, les spécificités de l’approche interculturelle, les techniques d’entretien et le processus d’évaluation dans le déroulement chronologique, le contexte géopolitique et les parcours de migration ainsi que le droit de la protection de l’enfance, du séjour et de l’asile. </w:t>
      </w:r>
    </w:p>
    <w:p w14:paraId="5BFC046A" w14:textId="3959C424" w:rsidR="00A168A4" w:rsidRDefault="00A168A4" w:rsidP="00A168A4">
      <w:pPr>
        <w:spacing w:line="240" w:lineRule="auto"/>
        <w:jc w:val="both"/>
      </w:pPr>
      <w:r>
        <w:t xml:space="preserve">La qualification </w:t>
      </w:r>
      <w:r w:rsidR="003C49AC">
        <w:t xml:space="preserve">des professionnels en charge de </w:t>
      </w:r>
      <w:r w:rsidR="00FD7F6A">
        <w:t>l’évaluation doit</w:t>
      </w:r>
      <w:r>
        <w:t xml:space="preserve"> avoir trait aux métiers de la Protection de l’Enfance, du d</w:t>
      </w:r>
      <w:r w:rsidR="003C49AC">
        <w:t>roit, de la psychologie, de la santé ou de l’éducation.</w:t>
      </w:r>
    </w:p>
    <w:p w14:paraId="6E424254" w14:textId="509F8551" w:rsidR="00A168A4" w:rsidRDefault="00A168A4" w:rsidP="00A168A4">
      <w:pPr>
        <w:spacing w:line="240" w:lineRule="auto"/>
        <w:jc w:val="both"/>
      </w:pPr>
      <w:r>
        <w:t>Le service qui agit pour le compte du Président du Conseil Départemental doit s’assurer du caractère pluridisciplinaire de l’évaluation.</w:t>
      </w:r>
    </w:p>
    <w:p w14:paraId="12CA42E1" w14:textId="77777777" w:rsidR="00DD6002" w:rsidRDefault="00DD6002" w:rsidP="00A168A4">
      <w:pPr>
        <w:spacing w:line="240" w:lineRule="auto"/>
        <w:jc w:val="both"/>
      </w:pPr>
    </w:p>
    <w:p w14:paraId="741B12E4" w14:textId="5CA146A0" w:rsidR="00290FDF" w:rsidRDefault="00290FDF" w:rsidP="00DD6002">
      <w:pPr>
        <w:pStyle w:val="Paragraphedeliste"/>
        <w:numPr>
          <w:ilvl w:val="1"/>
          <w:numId w:val="11"/>
        </w:numPr>
        <w:rPr>
          <w:rFonts w:ascii="Calibri" w:hAnsi="Calibri" w:cs="Calibri"/>
          <w:b/>
          <w:smallCaps/>
          <w:sz w:val="28"/>
          <w:szCs w:val="28"/>
        </w:rPr>
      </w:pPr>
      <w:r>
        <w:rPr>
          <w:rFonts w:ascii="Calibri" w:hAnsi="Calibri" w:cs="Calibri"/>
          <w:b/>
          <w:smallCaps/>
          <w:sz w:val="28"/>
          <w:szCs w:val="28"/>
        </w:rPr>
        <w:t>Projet du service</w:t>
      </w:r>
    </w:p>
    <w:p w14:paraId="70B497FD" w14:textId="77777777" w:rsidR="00290FDF" w:rsidRDefault="00290FDF" w:rsidP="00290FDF">
      <w:pPr>
        <w:spacing w:line="240" w:lineRule="auto"/>
        <w:jc w:val="both"/>
      </w:pPr>
      <w:r>
        <w:t xml:space="preserve">Le projet du service devra présenter : </w:t>
      </w:r>
    </w:p>
    <w:p w14:paraId="2C1EAE45" w14:textId="2110456F" w:rsidR="00290FDF" w:rsidRDefault="00290FDF" w:rsidP="00DD6002">
      <w:pPr>
        <w:pStyle w:val="Paragraphedeliste"/>
        <w:numPr>
          <w:ilvl w:val="0"/>
          <w:numId w:val="9"/>
        </w:numPr>
        <w:spacing w:line="240" w:lineRule="auto"/>
        <w:jc w:val="both"/>
      </w:pPr>
      <w:r>
        <w:t>Les modalités de prise en charge de l’évaluation.</w:t>
      </w:r>
    </w:p>
    <w:p w14:paraId="375D62FE" w14:textId="2E85829B" w:rsidR="00290FDF" w:rsidRDefault="00290FDF" w:rsidP="00DD6002">
      <w:pPr>
        <w:pStyle w:val="Paragraphedeliste"/>
        <w:numPr>
          <w:ilvl w:val="0"/>
          <w:numId w:val="9"/>
        </w:numPr>
        <w:spacing w:line="240" w:lineRule="auto"/>
        <w:jc w:val="both"/>
      </w:pPr>
      <w:r>
        <w:t>La prise en compte des droits des usagers et les modalités de promotion de la bientraitance.</w:t>
      </w:r>
    </w:p>
    <w:p w14:paraId="52F043E2" w14:textId="0D34CBA1" w:rsidR="00290FDF" w:rsidRDefault="00290FDF" w:rsidP="00DD6002">
      <w:pPr>
        <w:pStyle w:val="Paragraphedeliste"/>
        <w:numPr>
          <w:ilvl w:val="0"/>
          <w:numId w:val="9"/>
        </w:numPr>
        <w:spacing w:line="240" w:lineRule="auto"/>
        <w:jc w:val="both"/>
      </w:pPr>
      <w:r>
        <w:t>La composition du service (tableau des effectifs, les recrutements envisagés en terme de compétence et d’expérience professionnelle, un planning type envisagé sur 30 jours, le plan de formation continue envisagé, la convention collective dont relèvera le personnel, les amplitudes horaires de travail du personnel, les modalités d’organisation interne</w:t>
      </w:r>
      <w:r w:rsidR="00FD7F6A">
        <w:t>)</w:t>
      </w:r>
    </w:p>
    <w:p w14:paraId="2687017D" w14:textId="77777777" w:rsidR="00DD6002" w:rsidRDefault="00DD6002" w:rsidP="00DD6002">
      <w:pPr>
        <w:rPr>
          <w:rFonts w:ascii="Calibri" w:hAnsi="Calibri" w:cs="Calibri"/>
          <w:b/>
          <w:smallCaps/>
          <w:sz w:val="28"/>
          <w:szCs w:val="28"/>
        </w:rPr>
      </w:pPr>
    </w:p>
    <w:p w14:paraId="2B7BC4D4" w14:textId="2E3D3AC0" w:rsidR="00DD6002" w:rsidRPr="00DD6002" w:rsidRDefault="00DD6002" w:rsidP="00DD6002">
      <w:pPr>
        <w:pStyle w:val="Paragraphedeliste"/>
        <w:numPr>
          <w:ilvl w:val="1"/>
          <w:numId w:val="11"/>
        </w:numPr>
        <w:rPr>
          <w:rFonts w:ascii="Calibri" w:hAnsi="Calibri" w:cs="Calibri"/>
          <w:b/>
          <w:smallCaps/>
          <w:sz w:val="28"/>
          <w:szCs w:val="28"/>
        </w:rPr>
      </w:pPr>
      <w:r>
        <w:rPr>
          <w:rFonts w:ascii="Calibri" w:hAnsi="Calibri" w:cs="Calibri"/>
          <w:b/>
          <w:smallCaps/>
          <w:sz w:val="28"/>
          <w:szCs w:val="28"/>
        </w:rPr>
        <w:t>Localisation</w:t>
      </w:r>
    </w:p>
    <w:p w14:paraId="465D090D" w14:textId="54872598" w:rsidR="00DD6002" w:rsidRDefault="00DD6002" w:rsidP="00DD6002">
      <w:pPr>
        <w:spacing w:line="240" w:lineRule="auto"/>
        <w:jc w:val="both"/>
      </w:pPr>
      <w:r>
        <w:t>Le présent appel à projet concerne la totalité du territoire départemental.</w:t>
      </w:r>
    </w:p>
    <w:p w14:paraId="5FBA2B28" w14:textId="2D94C926" w:rsidR="00CE24D0" w:rsidRDefault="00CE24D0" w:rsidP="00DD6002">
      <w:pPr>
        <w:spacing w:line="240" w:lineRule="auto"/>
        <w:jc w:val="both"/>
      </w:pPr>
      <w:r>
        <w:t>Les personnes se présentant comme MNA sont mis</w:t>
      </w:r>
      <w:r w:rsidR="00547765">
        <w:t>es</w:t>
      </w:r>
      <w:r>
        <w:t xml:space="preserve"> à l’abri à Monthureux, Darney, Saint Dié, Raon l’Etape, Plainfaing, Golbey, Epinal, Remiremont. </w:t>
      </w:r>
    </w:p>
    <w:p w14:paraId="380C1AA3" w14:textId="5B68D022" w:rsidR="00290FDF" w:rsidRDefault="00290FDF" w:rsidP="00290FDF">
      <w:pPr>
        <w:rPr>
          <w:rFonts w:ascii="Calibri" w:hAnsi="Calibri" w:cs="Calibri"/>
          <w:b/>
          <w:smallCaps/>
          <w:sz w:val="28"/>
          <w:szCs w:val="28"/>
        </w:rPr>
      </w:pPr>
    </w:p>
    <w:p w14:paraId="5F058D94" w14:textId="77777777" w:rsidR="00CE24D0" w:rsidRPr="00290FDF" w:rsidRDefault="00CE24D0" w:rsidP="00290FDF">
      <w:pPr>
        <w:rPr>
          <w:rFonts w:ascii="Calibri" w:hAnsi="Calibri" w:cs="Calibri"/>
          <w:b/>
          <w:smallCaps/>
          <w:sz w:val="28"/>
          <w:szCs w:val="28"/>
        </w:rPr>
      </w:pPr>
    </w:p>
    <w:p w14:paraId="396EBBAB" w14:textId="77777777" w:rsidR="005B0078" w:rsidRDefault="005B0078" w:rsidP="00A168A4">
      <w:pPr>
        <w:spacing w:line="240" w:lineRule="auto"/>
        <w:jc w:val="both"/>
      </w:pPr>
    </w:p>
    <w:p w14:paraId="5BA73B69" w14:textId="2A9B6FBC" w:rsidR="00A168A4" w:rsidRPr="00290FDF" w:rsidRDefault="00290FDF" w:rsidP="00290FDF">
      <w:pPr>
        <w:ind w:left="644"/>
        <w:rPr>
          <w:rFonts w:ascii="Calibri" w:hAnsi="Calibri" w:cs="Calibri"/>
          <w:b/>
          <w:smallCaps/>
          <w:sz w:val="28"/>
          <w:szCs w:val="28"/>
        </w:rPr>
      </w:pPr>
      <w:r>
        <w:rPr>
          <w:rFonts w:ascii="Calibri" w:hAnsi="Calibri" w:cs="Calibri"/>
          <w:b/>
          <w:smallCaps/>
          <w:sz w:val="28"/>
          <w:szCs w:val="28"/>
        </w:rPr>
        <w:t>3.</w:t>
      </w:r>
      <w:r w:rsidR="00DD6002">
        <w:rPr>
          <w:rFonts w:ascii="Calibri" w:hAnsi="Calibri" w:cs="Calibri"/>
          <w:b/>
          <w:smallCaps/>
          <w:sz w:val="28"/>
          <w:szCs w:val="28"/>
        </w:rPr>
        <w:t>4</w:t>
      </w:r>
      <w:r>
        <w:rPr>
          <w:rFonts w:ascii="Calibri" w:hAnsi="Calibri" w:cs="Calibri"/>
          <w:b/>
          <w:smallCaps/>
          <w:sz w:val="28"/>
          <w:szCs w:val="28"/>
        </w:rPr>
        <w:t xml:space="preserve"> </w:t>
      </w:r>
      <w:r w:rsidR="00A168A4" w:rsidRPr="00290FDF">
        <w:rPr>
          <w:rFonts w:ascii="Calibri" w:hAnsi="Calibri" w:cs="Calibri"/>
          <w:b/>
          <w:smallCaps/>
          <w:sz w:val="28"/>
          <w:szCs w:val="28"/>
        </w:rPr>
        <w:t xml:space="preserve">Modalités </w:t>
      </w:r>
      <w:r w:rsidR="00CE24D0">
        <w:rPr>
          <w:rFonts w:ascii="Calibri" w:hAnsi="Calibri" w:cs="Calibri"/>
          <w:b/>
          <w:smallCaps/>
          <w:sz w:val="28"/>
          <w:szCs w:val="28"/>
        </w:rPr>
        <w:t xml:space="preserve"> d’intervention, </w:t>
      </w:r>
      <w:r w:rsidR="00A168A4" w:rsidRPr="00290FDF">
        <w:rPr>
          <w:rFonts w:ascii="Calibri" w:hAnsi="Calibri" w:cs="Calibri"/>
          <w:b/>
          <w:smallCaps/>
          <w:sz w:val="28"/>
          <w:szCs w:val="28"/>
        </w:rPr>
        <w:t>de communication avec la Cellule Mineurs Non Accomp</w:t>
      </w:r>
      <w:r w:rsidR="00CE24D0">
        <w:rPr>
          <w:rFonts w:ascii="Calibri" w:hAnsi="Calibri" w:cs="Calibri"/>
          <w:b/>
          <w:smallCaps/>
          <w:sz w:val="28"/>
          <w:szCs w:val="28"/>
        </w:rPr>
        <w:t>agnes</w:t>
      </w:r>
    </w:p>
    <w:p w14:paraId="12072A72" w14:textId="53E3CB64" w:rsidR="00E84E6F" w:rsidRDefault="00E84E6F" w:rsidP="00E84E6F">
      <w:pPr>
        <w:spacing w:line="240" w:lineRule="auto"/>
        <w:jc w:val="both"/>
      </w:pPr>
      <w:r>
        <w:t>Lorsque qu’une personne se prés</w:t>
      </w:r>
      <w:r w:rsidR="00CE24D0">
        <w:t>entant comme MNA arrive à la Direction Enfance Famille,</w:t>
      </w:r>
      <w:r>
        <w:t xml:space="preserve"> la cellule MNA communique l’identité de l’intéress</w:t>
      </w:r>
      <w:r w:rsidR="00CE24D0">
        <w:t>é et son lieu de mise à l’abri au service en charge de l’évaluation.</w:t>
      </w:r>
    </w:p>
    <w:p w14:paraId="7494EDF9" w14:textId="77777777" w:rsidR="00BD73D5" w:rsidRDefault="00BD73D5" w:rsidP="00E84E6F">
      <w:pPr>
        <w:spacing w:line="240" w:lineRule="auto"/>
        <w:jc w:val="both"/>
      </w:pPr>
      <w:r>
        <w:t>Le service en charge de l’évaluation assure la mise en œuvre des différentes démarches inhérentes à l’évaluation :</w:t>
      </w:r>
    </w:p>
    <w:p w14:paraId="1459E421" w14:textId="77777777" w:rsidR="00BD73D5" w:rsidRDefault="00BD73D5" w:rsidP="00BD73D5">
      <w:pPr>
        <w:pStyle w:val="Paragraphedeliste"/>
        <w:numPr>
          <w:ilvl w:val="0"/>
          <w:numId w:val="12"/>
        </w:numPr>
        <w:spacing w:line="240" w:lineRule="auto"/>
        <w:jc w:val="both"/>
      </w:pPr>
      <w:r>
        <w:t>P</w:t>
      </w:r>
      <w:r w:rsidR="00CE24D0">
        <w:t>rises de rendez-vous avec le service de mise à l’abri pour le ou les entretiens d’évaluations</w:t>
      </w:r>
      <w:r>
        <w:t>.</w:t>
      </w:r>
    </w:p>
    <w:p w14:paraId="4D0D584A" w14:textId="55B617D6" w:rsidR="00CE24D0" w:rsidRDefault="00BD73D5" w:rsidP="00E84E6F">
      <w:pPr>
        <w:pStyle w:val="Paragraphedeliste"/>
        <w:numPr>
          <w:ilvl w:val="0"/>
          <w:numId w:val="12"/>
        </w:numPr>
        <w:spacing w:line="240" w:lineRule="auto"/>
        <w:jc w:val="both"/>
      </w:pPr>
      <w:r>
        <w:t>Communication hebdomadaire des rendez-vous AEM à la cellule MNA (l</w:t>
      </w:r>
      <w:r w:rsidR="00CE24D0">
        <w:t xml:space="preserve">es informations recueillies par la préfecture et/ou le commissariat seront transmises </w:t>
      </w:r>
      <w:r>
        <w:t xml:space="preserve">ultérieurement </w:t>
      </w:r>
      <w:r w:rsidR="00CE24D0">
        <w:t xml:space="preserve">au </w:t>
      </w:r>
      <w:r>
        <w:t>service en charge de l’évaluation par la cellule MNA.</w:t>
      </w:r>
    </w:p>
    <w:p w14:paraId="45BD4469" w14:textId="3297C509" w:rsidR="00BD73D5" w:rsidRDefault="00BD73D5" w:rsidP="00E84E6F">
      <w:pPr>
        <w:pStyle w:val="Paragraphedeliste"/>
        <w:numPr>
          <w:ilvl w:val="0"/>
          <w:numId w:val="12"/>
        </w:numPr>
        <w:spacing w:line="240" w:lineRule="auto"/>
        <w:jc w:val="both"/>
      </w:pPr>
      <w:r>
        <w:t>Prise de contact avec le service de mise à l’abri afin de recueillir des informations sur la prise en charge quotidienne de la personne se déclarant MNA.</w:t>
      </w:r>
    </w:p>
    <w:p w14:paraId="036EC5D6" w14:textId="1FD86071" w:rsidR="00BD73D5" w:rsidRDefault="00BD73D5" w:rsidP="00BD73D5">
      <w:pPr>
        <w:spacing w:line="240" w:lineRule="auto"/>
        <w:jc w:val="both"/>
      </w:pPr>
      <w:r>
        <w:t>Le rapport d’</w:t>
      </w:r>
      <w:r w:rsidR="0068125F">
        <w:t>évaluation est transmis</w:t>
      </w:r>
      <w:r>
        <w:t xml:space="preserve"> dans les meilleurs délais à la cellule MNA</w:t>
      </w:r>
      <w:r w:rsidR="0068125F">
        <w:t xml:space="preserve"> qui décide de l’orientation à prendre (sortie administrative ou transmission à l’autorité judiciaire)</w:t>
      </w:r>
    </w:p>
    <w:p w14:paraId="53BA74F6" w14:textId="1C41DB3E" w:rsidR="00410428" w:rsidRDefault="00410428" w:rsidP="003A2F20">
      <w:pPr>
        <w:spacing w:after="120" w:line="240" w:lineRule="auto"/>
        <w:jc w:val="both"/>
      </w:pPr>
      <w:bookmarkStart w:id="0" w:name="_GoBack"/>
      <w:bookmarkEnd w:id="0"/>
    </w:p>
    <w:p w14:paraId="53BA74F7" w14:textId="22DEB783" w:rsidR="00D81B7D" w:rsidRDefault="00D81B7D" w:rsidP="00DD6002">
      <w:pPr>
        <w:pStyle w:val="Paragraphedeliste"/>
        <w:numPr>
          <w:ilvl w:val="0"/>
          <w:numId w:val="11"/>
        </w:numPr>
        <w:spacing w:after="120" w:line="240" w:lineRule="auto"/>
        <w:jc w:val="both"/>
        <w:rPr>
          <w:b/>
          <w:smallCaps/>
          <w:sz w:val="24"/>
          <w:szCs w:val="24"/>
        </w:rPr>
      </w:pPr>
      <w:r w:rsidRPr="00F01B51">
        <w:rPr>
          <w:b/>
          <w:smallCaps/>
          <w:sz w:val="24"/>
          <w:szCs w:val="24"/>
        </w:rPr>
        <w:t>DATE DU DÉBUT DE L’ACTION</w:t>
      </w:r>
    </w:p>
    <w:p w14:paraId="53BA74F8" w14:textId="77777777" w:rsidR="007761F0" w:rsidRDefault="007761F0" w:rsidP="007761F0">
      <w:pPr>
        <w:pStyle w:val="Paragraphedeliste"/>
        <w:spacing w:after="120" w:line="240" w:lineRule="auto"/>
        <w:ind w:left="568"/>
        <w:jc w:val="both"/>
        <w:rPr>
          <w:b/>
          <w:smallCaps/>
          <w:sz w:val="24"/>
          <w:szCs w:val="24"/>
        </w:rPr>
      </w:pPr>
    </w:p>
    <w:p w14:paraId="53BA74F9" w14:textId="7741ABEE" w:rsidR="00D81B7D" w:rsidRDefault="00D81B7D" w:rsidP="00B465C1">
      <w:pPr>
        <w:spacing w:after="120"/>
        <w:jc w:val="both"/>
        <w:rPr>
          <w:b/>
        </w:rPr>
      </w:pPr>
      <w:r>
        <w:t xml:space="preserve">La </w:t>
      </w:r>
      <w:r w:rsidRPr="00183DAD">
        <w:t xml:space="preserve">commission d’appel à projets se réunira </w:t>
      </w:r>
      <w:r w:rsidR="00FD09E6">
        <w:t xml:space="preserve">en </w:t>
      </w:r>
      <w:r w:rsidR="00FD7F6A">
        <w:rPr>
          <w:b/>
        </w:rPr>
        <w:t xml:space="preserve">Mars 2024 </w:t>
      </w:r>
      <w:r w:rsidRPr="00724B4C">
        <w:t xml:space="preserve">pour une mise </w:t>
      </w:r>
      <w:r w:rsidR="00FD09E6">
        <w:t xml:space="preserve">en œuvre de l’action au plus tôt. </w:t>
      </w:r>
      <w:r w:rsidR="00FD7F6A">
        <w:rPr>
          <w:b/>
        </w:rPr>
        <w:t xml:space="preserve"> </w:t>
      </w:r>
    </w:p>
    <w:p w14:paraId="53BA74FA" w14:textId="725376B9" w:rsidR="00AB34ED" w:rsidRDefault="00AB34ED" w:rsidP="00FD7F6A">
      <w:pPr>
        <w:spacing w:after="120" w:line="240" w:lineRule="auto"/>
        <w:jc w:val="both"/>
      </w:pPr>
    </w:p>
    <w:p w14:paraId="53BA74FB" w14:textId="3406D4BB" w:rsidR="00D81B7D" w:rsidRPr="00337378" w:rsidRDefault="00D81B7D" w:rsidP="00DD6002">
      <w:pPr>
        <w:pStyle w:val="Paragraphedeliste"/>
        <w:numPr>
          <w:ilvl w:val="0"/>
          <w:numId w:val="11"/>
        </w:numPr>
        <w:spacing w:after="120" w:line="240" w:lineRule="auto"/>
        <w:ind w:left="284" w:hanging="284"/>
        <w:jc w:val="both"/>
        <w:rPr>
          <w:b/>
          <w:sz w:val="24"/>
          <w:szCs w:val="24"/>
        </w:rPr>
      </w:pPr>
      <w:r w:rsidRPr="00337378">
        <w:rPr>
          <w:b/>
          <w:sz w:val="24"/>
          <w:szCs w:val="24"/>
        </w:rPr>
        <w:t>MODALITÉS DE FINANCEMENT ET CADRAGE BUDGÉTAIRE</w:t>
      </w:r>
      <w:r w:rsidR="00FE27ED" w:rsidRPr="00337378">
        <w:rPr>
          <w:b/>
          <w:sz w:val="24"/>
          <w:szCs w:val="24"/>
        </w:rPr>
        <w:t xml:space="preserve"> </w:t>
      </w:r>
    </w:p>
    <w:p w14:paraId="051BDB9C" w14:textId="77777777" w:rsidR="00337378" w:rsidRPr="00337378" w:rsidRDefault="00337378" w:rsidP="00337378">
      <w:pPr>
        <w:pStyle w:val="Paragraphedeliste"/>
        <w:spacing w:after="120" w:line="240" w:lineRule="auto"/>
        <w:ind w:left="284"/>
        <w:jc w:val="both"/>
        <w:rPr>
          <w:sz w:val="24"/>
          <w:szCs w:val="24"/>
        </w:rPr>
      </w:pPr>
    </w:p>
    <w:p w14:paraId="17AA57DB" w14:textId="7A1EF69F" w:rsidR="00EE6AFA" w:rsidRPr="00FD09E6" w:rsidRDefault="00337378" w:rsidP="00FD7F6A">
      <w:pPr>
        <w:pStyle w:val="Paragraphedeliste"/>
        <w:spacing w:after="120" w:line="240" w:lineRule="auto"/>
        <w:ind w:left="0"/>
        <w:jc w:val="both"/>
      </w:pPr>
      <w:r w:rsidRPr="00FD09E6">
        <w:t>Le département n’apporte pas de subvention d’investissement. Il finance la prestation par une tarification à l’activité fixée par arrêté.</w:t>
      </w:r>
    </w:p>
    <w:p w14:paraId="7CF929C6" w14:textId="60E97B86" w:rsidR="00EE6AFA" w:rsidRPr="00FD09E6" w:rsidRDefault="00FD7F6A" w:rsidP="00EE6AFA">
      <w:pPr>
        <w:spacing w:after="120" w:line="240" w:lineRule="auto"/>
        <w:jc w:val="both"/>
      </w:pPr>
      <w:r w:rsidRPr="00FD09E6">
        <w:t xml:space="preserve">Le service évaluant </w:t>
      </w:r>
      <w:r w:rsidR="00EE6AFA" w:rsidRPr="00FD09E6">
        <w:t>les personnes se déclarant MNA deviendra un service social et médico-social relevant des dispositions de l’article</w:t>
      </w:r>
      <w:r w:rsidRPr="00FD09E6">
        <w:t xml:space="preserve"> L 312-1 du CASF. E</w:t>
      </w:r>
      <w:r w:rsidR="00EE6AFA" w:rsidRPr="00FD09E6">
        <w:t>lle sera soumise à toutes les obligations relevant de ce statut.</w:t>
      </w:r>
    </w:p>
    <w:p w14:paraId="7DC47A20" w14:textId="77777777" w:rsidR="00EE6AFA" w:rsidRPr="00FD09E6" w:rsidRDefault="00EE6AFA" w:rsidP="00EE6AFA">
      <w:pPr>
        <w:spacing w:after="120" w:line="240" w:lineRule="auto"/>
        <w:jc w:val="both"/>
      </w:pPr>
      <w:r w:rsidRPr="00FD09E6">
        <w:t xml:space="preserve">A ce titre, la structure relève du cadre de la tarification des établissements sociaux et médico-sociaux, prévue par les articles L314-1 à L314-9 du Code de l’Action Sociale et des Familles.   </w:t>
      </w:r>
    </w:p>
    <w:p w14:paraId="758E1EB9" w14:textId="77777777" w:rsidR="00EE6AFA" w:rsidRPr="00FD09E6" w:rsidRDefault="00EE6AFA" w:rsidP="00EE6AFA">
      <w:pPr>
        <w:spacing w:after="120" w:line="240" w:lineRule="auto"/>
        <w:jc w:val="both"/>
      </w:pPr>
      <w:r w:rsidRPr="00FD09E6">
        <w:t xml:space="preserve">La proposition budgétaire du candidat devra donc respecter le cadre de présentation normalisé des budgets sociaux et médico-sociaux (articles R314-9 à R 314-13 du Code de l’action sociale et des familles).   </w:t>
      </w:r>
    </w:p>
    <w:p w14:paraId="683D9E35" w14:textId="77777777" w:rsidR="00EE6AFA" w:rsidRPr="00FD09E6" w:rsidRDefault="00EE6AFA" w:rsidP="00EE6AFA">
      <w:pPr>
        <w:spacing w:after="120" w:line="240" w:lineRule="auto"/>
        <w:jc w:val="both"/>
      </w:pPr>
      <w:r w:rsidRPr="00FD09E6">
        <w:t xml:space="preserve"> Dans le cadre de la réponse à cet appel à projet, le candidat devra présenter un budget prévisionnel en année pleine. </w:t>
      </w:r>
    </w:p>
    <w:p w14:paraId="1EEB52F6" w14:textId="77777777" w:rsidR="00EE6AFA" w:rsidRPr="00FD09E6" w:rsidRDefault="00EE6AFA" w:rsidP="00EE6AFA">
      <w:pPr>
        <w:spacing w:after="120" w:line="240" w:lineRule="auto"/>
        <w:jc w:val="both"/>
      </w:pPr>
      <w:r w:rsidRPr="00FD09E6">
        <w:t xml:space="preserve">Le budget prévisionnel devra être accompagné d’un rapport explicitement détaillé, justifiant des charges et recettes inscrites. </w:t>
      </w:r>
    </w:p>
    <w:p w14:paraId="44DA7CEF" w14:textId="77777777" w:rsidR="00EE6AFA" w:rsidRPr="00FD09E6" w:rsidRDefault="00EE6AFA" w:rsidP="00EE6AFA">
      <w:pPr>
        <w:spacing w:after="120" w:line="240" w:lineRule="auto"/>
        <w:jc w:val="both"/>
      </w:pPr>
      <w:r w:rsidRPr="00FD09E6">
        <w:t xml:space="preserve">L’activité sera financée par le Département sous la forme d’un prix de journée par jeune, qui intégrera : </w:t>
      </w:r>
    </w:p>
    <w:p w14:paraId="0CF7C74D" w14:textId="77777777" w:rsidR="00EE6AFA" w:rsidRPr="00FD09E6" w:rsidRDefault="00EE6AFA" w:rsidP="00EE6AFA">
      <w:pPr>
        <w:spacing w:after="120" w:line="240" w:lineRule="auto"/>
        <w:jc w:val="both"/>
      </w:pPr>
      <w:r w:rsidRPr="00FD09E6">
        <w:t xml:space="preserve">Dépenses : </w:t>
      </w:r>
    </w:p>
    <w:p w14:paraId="18A58CB9" w14:textId="77777777" w:rsidR="00EE6AFA" w:rsidRPr="00FD09E6" w:rsidRDefault="00EE6AFA" w:rsidP="00EE6AFA">
      <w:pPr>
        <w:spacing w:after="120" w:line="240" w:lineRule="auto"/>
        <w:jc w:val="both"/>
      </w:pPr>
      <w:r w:rsidRPr="00FD09E6">
        <w:t xml:space="preserve">En Groupe 1 : Dépenses afférentes à l’exploitation courante : </w:t>
      </w:r>
    </w:p>
    <w:p w14:paraId="22144E14" w14:textId="77777777" w:rsidR="00EE6AFA" w:rsidRPr="00FD09E6" w:rsidRDefault="00EE6AFA" w:rsidP="00EE6AFA">
      <w:pPr>
        <w:numPr>
          <w:ilvl w:val="0"/>
          <w:numId w:val="14"/>
        </w:numPr>
        <w:spacing w:after="120" w:line="240" w:lineRule="auto"/>
        <w:jc w:val="both"/>
      </w:pPr>
      <w:r w:rsidRPr="00FD09E6">
        <w:t xml:space="preserve">Achats (comptes 601, 602, 603, 606, 607, 709, 713), </w:t>
      </w:r>
    </w:p>
    <w:p w14:paraId="000429F0" w14:textId="77777777" w:rsidR="00EE6AFA" w:rsidRPr="00FD09E6" w:rsidRDefault="00EE6AFA" w:rsidP="00EE6AFA">
      <w:pPr>
        <w:numPr>
          <w:ilvl w:val="0"/>
          <w:numId w:val="14"/>
        </w:numPr>
        <w:spacing w:after="120" w:line="240" w:lineRule="auto"/>
        <w:jc w:val="both"/>
      </w:pPr>
      <w:r w:rsidRPr="00FD09E6">
        <w:t xml:space="preserve">Services extérieurs (comptes 6111, 6112, 6118), </w:t>
      </w:r>
    </w:p>
    <w:p w14:paraId="3AC99968" w14:textId="77777777" w:rsidR="00EE6AFA" w:rsidRPr="00FD09E6" w:rsidRDefault="00EE6AFA" w:rsidP="00EE6AFA">
      <w:pPr>
        <w:numPr>
          <w:ilvl w:val="0"/>
          <w:numId w:val="14"/>
        </w:numPr>
        <w:spacing w:after="120" w:line="240" w:lineRule="auto"/>
        <w:jc w:val="both"/>
      </w:pPr>
      <w:r w:rsidRPr="00FD09E6">
        <w:t xml:space="preserve">Autres services extérieurs (comptes 6241, 6242, 6247, 6248, 625, 626, 6281, 6282, 6283, 6284, 6287, 6288). </w:t>
      </w:r>
    </w:p>
    <w:p w14:paraId="630EED9E" w14:textId="77777777" w:rsidR="00EE6AFA" w:rsidRPr="00FD09E6" w:rsidRDefault="00EE6AFA" w:rsidP="00EE6AFA">
      <w:pPr>
        <w:spacing w:after="120" w:line="240" w:lineRule="auto"/>
        <w:jc w:val="both"/>
      </w:pPr>
      <w:r w:rsidRPr="00FD09E6">
        <w:t xml:space="preserve">En Groupe 2 : Dépenses afférentes au personnel : </w:t>
      </w:r>
    </w:p>
    <w:p w14:paraId="4EBEAEFF" w14:textId="77777777" w:rsidR="00EE6AFA" w:rsidRPr="00FD09E6" w:rsidRDefault="00EE6AFA" w:rsidP="00EE6AFA">
      <w:pPr>
        <w:numPr>
          <w:ilvl w:val="0"/>
          <w:numId w:val="14"/>
        </w:numPr>
        <w:spacing w:after="120" w:line="240" w:lineRule="auto"/>
        <w:jc w:val="both"/>
      </w:pPr>
      <w:r w:rsidRPr="00FD09E6">
        <w:t xml:space="preserve">Personnel salarié et charges et taxes afférentes au personnel salarié, </w:t>
      </w:r>
    </w:p>
    <w:p w14:paraId="044C5C5C" w14:textId="77777777" w:rsidR="00EE6AFA" w:rsidRPr="00FD09E6" w:rsidRDefault="00EE6AFA" w:rsidP="00EE6AFA">
      <w:pPr>
        <w:numPr>
          <w:ilvl w:val="0"/>
          <w:numId w:val="14"/>
        </w:numPr>
        <w:spacing w:after="120" w:line="240" w:lineRule="auto"/>
        <w:jc w:val="both"/>
      </w:pPr>
      <w:r w:rsidRPr="00FD09E6">
        <w:t xml:space="preserve">Personnel extérieur et charges et taxes afférentes au personnel extérieur, </w:t>
      </w:r>
    </w:p>
    <w:p w14:paraId="007FE23C" w14:textId="77777777" w:rsidR="00EE6AFA" w:rsidRPr="00FD09E6" w:rsidRDefault="00EE6AFA" w:rsidP="00EE6AFA">
      <w:pPr>
        <w:numPr>
          <w:ilvl w:val="0"/>
          <w:numId w:val="14"/>
        </w:numPr>
        <w:spacing w:after="120" w:line="240" w:lineRule="auto"/>
        <w:jc w:val="both"/>
      </w:pPr>
      <w:r w:rsidRPr="00FD09E6">
        <w:t xml:space="preserve">Rémunérations d’intermédiaires et honoraires. </w:t>
      </w:r>
    </w:p>
    <w:p w14:paraId="4516BCBD" w14:textId="77777777" w:rsidR="00EE6AFA" w:rsidRPr="00FD09E6" w:rsidRDefault="00EE6AFA" w:rsidP="00EE6AFA">
      <w:pPr>
        <w:spacing w:after="120" w:line="240" w:lineRule="auto"/>
        <w:jc w:val="both"/>
      </w:pPr>
      <w:r w:rsidRPr="00FD09E6">
        <w:t xml:space="preserve">Il est demandé de compléter les onglets du tableau de personnel joint à cet appel à projet. </w:t>
      </w:r>
    </w:p>
    <w:p w14:paraId="14536732" w14:textId="77777777" w:rsidR="00EE6AFA" w:rsidRPr="00FD09E6" w:rsidRDefault="00EE6AFA" w:rsidP="00EE6AFA">
      <w:pPr>
        <w:spacing w:after="120" w:line="240" w:lineRule="auto"/>
        <w:jc w:val="both"/>
      </w:pPr>
      <w:r w:rsidRPr="00FD09E6">
        <w:t xml:space="preserve">Groupe 3 : Dépenses afférentes à la structure : </w:t>
      </w:r>
    </w:p>
    <w:p w14:paraId="5EAAA182" w14:textId="77777777" w:rsidR="00EE6AFA" w:rsidRPr="00FD09E6" w:rsidRDefault="00EE6AFA" w:rsidP="00EE6AFA">
      <w:pPr>
        <w:numPr>
          <w:ilvl w:val="0"/>
          <w:numId w:val="14"/>
        </w:numPr>
        <w:spacing w:after="120" w:line="240" w:lineRule="auto"/>
        <w:jc w:val="both"/>
      </w:pPr>
      <w:r w:rsidRPr="00FD09E6">
        <w:t xml:space="preserve">Dépenses de structure (comptes 612, 6135, 6152, 6155, 6156, 616, 617, 618, 623, 627, 635, 637, 651, 653, 654, 655, 657, 658), </w:t>
      </w:r>
    </w:p>
    <w:p w14:paraId="5302E8D8" w14:textId="77777777" w:rsidR="00EE6AFA" w:rsidRPr="00FD09E6" w:rsidRDefault="00EE6AFA" w:rsidP="00EE6AFA">
      <w:pPr>
        <w:numPr>
          <w:ilvl w:val="0"/>
          <w:numId w:val="14"/>
        </w:numPr>
        <w:spacing w:after="120" w:line="240" w:lineRule="auto"/>
        <w:jc w:val="both"/>
      </w:pPr>
      <w:r w:rsidRPr="00FD09E6">
        <w:t xml:space="preserve">Locations immobilières et charges locatives (comptes 6132 et 614), </w:t>
      </w:r>
    </w:p>
    <w:p w14:paraId="31AB8089" w14:textId="77777777" w:rsidR="00EE6AFA" w:rsidRPr="00FD09E6" w:rsidRDefault="00EE6AFA" w:rsidP="00EE6AFA">
      <w:pPr>
        <w:numPr>
          <w:ilvl w:val="0"/>
          <w:numId w:val="14"/>
        </w:numPr>
        <w:spacing w:after="120" w:line="240" w:lineRule="auto"/>
        <w:jc w:val="both"/>
      </w:pPr>
      <w:r w:rsidRPr="00FD09E6">
        <w:t xml:space="preserve">Eventuels frais de siège (compte 655), </w:t>
      </w:r>
    </w:p>
    <w:p w14:paraId="1B6EC7FC" w14:textId="77777777" w:rsidR="00EE6AFA" w:rsidRPr="00FD09E6" w:rsidRDefault="00EE6AFA" w:rsidP="00EE6AFA">
      <w:pPr>
        <w:numPr>
          <w:ilvl w:val="0"/>
          <w:numId w:val="14"/>
        </w:numPr>
        <w:spacing w:after="120" w:line="240" w:lineRule="auto"/>
        <w:jc w:val="both"/>
      </w:pPr>
      <w:r w:rsidRPr="00FD09E6">
        <w:t xml:space="preserve">Charges financières (compte 66), </w:t>
      </w:r>
    </w:p>
    <w:p w14:paraId="03FADB94" w14:textId="77777777" w:rsidR="00EE6AFA" w:rsidRPr="00FD09E6" w:rsidRDefault="00EE6AFA" w:rsidP="00EE6AFA">
      <w:pPr>
        <w:numPr>
          <w:ilvl w:val="0"/>
          <w:numId w:val="14"/>
        </w:numPr>
        <w:spacing w:after="120" w:line="240" w:lineRule="auto"/>
        <w:jc w:val="both"/>
      </w:pPr>
      <w:r w:rsidRPr="00FD09E6">
        <w:t xml:space="preserve">Dotations aux amortissements, </w:t>
      </w:r>
    </w:p>
    <w:p w14:paraId="49C665C0" w14:textId="77777777" w:rsidR="00EE6AFA" w:rsidRPr="00FD09E6" w:rsidRDefault="00EE6AFA" w:rsidP="00EE6AFA">
      <w:pPr>
        <w:spacing w:after="120" w:line="240" w:lineRule="auto"/>
        <w:jc w:val="both"/>
      </w:pPr>
      <w:r w:rsidRPr="00FD09E6">
        <w:t xml:space="preserve">Recettes : </w:t>
      </w:r>
    </w:p>
    <w:p w14:paraId="5B3A5E4D" w14:textId="77777777" w:rsidR="00EE6AFA" w:rsidRPr="00FD09E6" w:rsidRDefault="00EE6AFA" w:rsidP="00EE6AFA">
      <w:pPr>
        <w:numPr>
          <w:ilvl w:val="0"/>
          <w:numId w:val="14"/>
        </w:numPr>
        <w:spacing w:after="120" w:line="240" w:lineRule="auto"/>
        <w:jc w:val="both"/>
      </w:pPr>
      <w:r w:rsidRPr="00FD09E6">
        <w:t>Recettes liées à l’activité (masse budgétaire),</w:t>
      </w:r>
    </w:p>
    <w:p w14:paraId="69408ADC" w14:textId="77777777" w:rsidR="00EE6AFA" w:rsidRPr="00FD09E6" w:rsidRDefault="00EE6AFA" w:rsidP="00EE6AFA">
      <w:pPr>
        <w:numPr>
          <w:ilvl w:val="0"/>
          <w:numId w:val="14"/>
        </w:numPr>
        <w:spacing w:after="120" w:line="240" w:lineRule="auto"/>
        <w:jc w:val="both"/>
      </w:pPr>
      <w:r w:rsidRPr="00FD09E6">
        <w:t xml:space="preserve">Recettes autres que la tarification. </w:t>
      </w:r>
    </w:p>
    <w:p w14:paraId="6C1C006C" w14:textId="77777777" w:rsidR="00EE6AFA" w:rsidRPr="00FD09E6" w:rsidRDefault="00EE6AFA" w:rsidP="00EE6AFA">
      <w:pPr>
        <w:spacing w:after="120" w:line="240" w:lineRule="auto"/>
        <w:jc w:val="both"/>
      </w:pPr>
      <w:r w:rsidRPr="00FD09E6">
        <w:t xml:space="preserve">Le paiement s’effectue mensuellement, sur la base des factures individualisées et nominatives envoyées par l’opérateur et validées par le Département.   </w:t>
      </w:r>
    </w:p>
    <w:p w14:paraId="09491BA9" w14:textId="77777777" w:rsidR="00EE6AFA" w:rsidRPr="00FD09E6" w:rsidRDefault="00EE6AFA" w:rsidP="00EE6AFA">
      <w:pPr>
        <w:spacing w:after="120" w:line="240" w:lineRule="auto"/>
        <w:jc w:val="both"/>
      </w:pPr>
      <w:r w:rsidRPr="00FD09E6">
        <w:t xml:space="preserve">Afin de permettre le suivi financier de l’activité, l’opérateur devra transmettre au terme de chaque exercice ses états financiers certifiés aux services du Département.   </w:t>
      </w:r>
    </w:p>
    <w:p w14:paraId="54B6CF93" w14:textId="77777777" w:rsidR="00EE6AFA" w:rsidRPr="00FD09E6" w:rsidRDefault="00EE6AFA" w:rsidP="00EE6AFA">
      <w:pPr>
        <w:spacing w:after="120" w:line="240" w:lineRule="auto"/>
        <w:jc w:val="both"/>
      </w:pPr>
      <w:r w:rsidRPr="00FD09E6">
        <w:t xml:space="preserve">Les documents financiers devant être joints au dossier de candidature sont :   </w:t>
      </w:r>
    </w:p>
    <w:p w14:paraId="0446288D" w14:textId="77777777" w:rsidR="00EE6AFA" w:rsidRPr="00FD09E6" w:rsidRDefault="00EE6AFA" w:rsidP="00EE6AFA">
      <w:pPr>
        <w:numPr>
          <w:ilvl w:val="0"/>
          <w:numId w:val="15"/>
        </w:numPr>
        <w:spacing w:after="120" w:line="240" w:lineRule="auto"/>
        <w:jc w:val="both"/>
      </w:pPr>
      <w:r w:rsidRPr="00FD09E6">
        <w:t xml:space="preserve">Un budget prévisionnel pour une année pleine de fonctionnement accompagné d’un rapport explicitement détaillé, </w:t>
      </w:r>
    </w:p>
    <w:p w14:paraId="128E5D27" w14:textId="77777777" w:rsidR="00EE6AFA" w:rsidRPr="00FD09E6" w:rsidRDefault="00EE6AFA" w:rsidP="00EE6AFA">
      <w:pPr>
        <w:numPr>
          <w:ilvl w:val="0"/>
          <w:numId w:val="15"/>
        </w:numPr>
        <w:spacing w:after="120" w:line="240" w:lineRule="auto"/>
        <w:jc w:val="both"/>
      </w:pPr>
      <w:r w:rsidRPr="00FD09E6">
        <w:t xml:space="preserve">Les investissements envisagés et leurs modes de financement, </w:t>
      </w:r>
    </w:p>
    <w:p w14:paraId="7A984FEC" w14:textId="77777777" w:rsidR="00EE6AFA" w:rsidRPr="00FD09E6" w:rsidRDefault="00EE6AFA" w:rsidP="00EE6AFA">
      <w:pPr>
        <w:numPr>
          <w:ilvl w:val="0"/>
          <w:numId w:val="15"/>
        </w:numPr>
        <w:spacing w:after="120" w:line="240" w:lineRule="auto"/>
        <w:jc w:val="both"/>
      </w:pPr>
      <w:r w:rsidRPr="00FD09E6">
        <w:t xml:space="preserve">Les comptes annuels consolidés de l’organisme gestionnaire (bilan, compte de résultat, statuts).  </w:t>
      </w:r>
    </w:p>
    <w:p w14:paraId="53BA7500" w14:textId="62BDB60E" w:rsidR="00434820" w:rsidRPr="00FD09E6" w:rsidRDefault="00EE6AFA" w:rsidP="00EE6AFA">
      <w:pPr>
        <w:spacing w:after="120" w:line="240" w:lineRule="auto"/>
        <w:jc w:val="both"/>
        <w:rPr>
          <w:b/>
        </w:rPr>
      </w:pPr>
      <w:r w:rsidRPr="00FD09E6">
        <w:rPr>
          <w:b/>
        </w:rPr>
        <w:t>Un budget prévisionnel 2024 (sous réserve du vote de l’assemblée délibérante</w:t>
      </w:r>
      <w:r w:rsidR="00FD7F6A" w:rsidRPr="00FD09E6">
        <w:rPr>
          <w:b/>
        </w:rPr>
        <w:t xml:space="preserve"> du Conseil départemental</w:t>
      </w:r>
      <w:r w:rsidRPr="00FD09E6">
        <w:rPr>
          <w:b/>
        </w:rPr>
        <w:t xml:space="preserve">) d’un montant de 200 000 € est prévu. C’est à l’opérateur de proposer un projet et un nombre d’évaluations réalisables dans l’année, en fonction de cette donnée. </w:t>
      </w:r>
    </w:p>
    <w:p w14:paraId="12B8469A" w14:textId="77777777" w:rsidR="00EE6AFA" w:rsidRPr="00EE6AFA" w:rsidRDefault="00EE6AFA" w:rsidP="00EE6AFA">
      <w:pPr>
        <w:spacing w:after="120" w:line="240" w:lineRule="auto"/>
        <w:jc w:val="both"/>
        <w:rPr>
          <w:b/>
          <w:color w:val="00B050"/>
          <w:sz w:val="24"/>
          <w:szCs w:val="24"/>
        </w:rPr>
      </w:pPr>
    </w:p>
    <w:p w14:paraId="53BA7501" w14:textId="71A813F9" w:rsidR="000A7405" w:rsidRPr="005B0078" w:rsidRDefault="000A7405" w:rsidP="00DD6002">
      <w:pPr>
        <w:pStyle w:val="Paragraphedeliste"/>
        <w:numPr>
          <w:ilvl w:val="0"/>
          <w:numId w:val="11"/>
        </w:numPr>
        <w:spacing w:after="120" w:line="240" w:lineRule="auto"/>
        <w:jc w:val="both"/>
        <w:rPr>
          <w:b/>
          <w:smallCaps/>
          <w:sz w:val="24"/>
          <w:szCs w:val="24"/>
        </w:rPr>
      </w:pPr>
      <w:r w:rsidRPr="005B0078">
        <w:rPr>
          <w:b/>
          <w:smallCaps/>
          <w:sz w:val="24"/>
          <w:szCs w:val="24"/>
        </w:rPr>
        <w:t>PILOTAGE ET ÉVALUATION DU DISPOSITIF</w:t>
      </w:r>
    </w:p>
    <w:p w14:paraId="53BA7502" w14:textId="77777777" w:rsidR="001D4F08" w:rsidRPr="00B82A62" w:rsidRDefault="001D4F08" w:rsidP="006E6C75">
      <w:pPr>
        <w:pStyle w:val="Paragraphedeliste"/>
        <w:spacing w:after="120" w:line="240" w:lineRule="auto"/>
        <w:ind w:left="284"/>
        <w:jc w:val="both"/>
        <w:rPr>
          <w:b/>
          <w:sz w:val="24"/>
          <w:szCs w:val="24"/>
        </w:rPr>
      </w:pPr>
    </w:p>
    <w:p w14:paraId="53BA7503" w14:textId="484D27E9" w:rsidR="000A7405" w:rsidRPr="00B82A62" w:rsidRDefault="00112FC2" w:rsidP="00B465C1">
      <w:pPr>
        <w:spacing w:after="120"/>
        <w:jc w:val="both"/>
      </w:pPr>
      <w:r>
        <w:t xml:space="preserve">A minima, un </w:t>
      </w:r>
      <w:r w:rsidR="000A7405" w:rsidRPr="00B82A62">
        <w:t>comité de pilotage se</w:t>
      </w:r>
      <w:r>
        <w:t>ra</w:t>
      </w:r>
      <w:r w:rsidR="004626AB" w:rsidRPr="00B82A62">
        <w:t xml:space="preserve"> </w:t>
      </w:r>
      <w:r>
        <w:t>organisé</w:t>
      </w:r>
      <w:r w:rsidR="0068125F">
        <w:t xml:space="preserve"> dans l’année</w:t>
      </w:r>
      <w:r w:rsidR="000A7405" w:rsidRPr="00B82A62">
        <w:t xml:space="preserve"> à l’initiative du Conseil Départemental, Pôle Développement des Solidarités.</w:t>
      </w:r>
    </w:p>
    <w:p w14:paraId="53BA7504" w14:textId="7E33FAFE" w:rsidR="000A7405" w:rsidRPr="00B82A62" w:rsidRDefault="000A7405" w:rsidP="00B465C1">
      <w:pPr>
        <w:spacing w:after="120"/>
        <w:jc w:val="both"/>
      </w:pPr>
      <w:r w:rsidRPr="00B82A62">
        <w:t xml:space="preserve">Le comité de pilotage, présidé par le Directeur de la </w:t>
      </w:r>
      <w:r w:rsidR="00830315" w:rsidRPr="00B82A62">
        <w:t>Direction Enfance Famille (</w:t>
      </w:r>
      <w:r w:rsidRPr="00B82A62">
        <w:t>DEF</w:t>
      </w:r>
      <w:r w:rsidR="00830315" w:rsidRPr="00B82A62">
        <w:t>)</w:t>
      </w:r>
      <w:r w:rsidRPr="00B82A62">
        <w:t xml:space="preserve"> du Conseil Départemental, sera composé de représentants de la DEF dont l’ASE, du service des Etablissements et Services Sociaux et Médi</w:t>
      </w:r>
      <w:r w:rsidR="00C60722" w:rsidRPr="00B82A62">
        <w:t>co-sociaux (SEMS), du service autorisé dans le cadre de l’appel à projets</w:t>
      </w:r>
      <w:r w:rsidRPr="00B82A62">
        <w:t>.</w:t>
      </w:r>
    </w:p>
    <w:p w14:paraId="53BA7505" w14:textId="1BA8C262" w:rsidR="000A7405" w:rsidRPr="00B82A62" w:rsidRDefault="000A7405" w:rsidP="00B465C1">
      <w:pPr>
        <w:spacing w:after="120"/>
        <w:jc w:val="both"/>
      </w:pPr>
      <w:r w:rsidRPr="00B82A62">
        <w:t xml:space="preserve">Pourront y être associés, en fonction de l’ordre du jour, des représentants d’autres institutions </w:t>
      </w:r>
    </w:p>
    <w:p w14:paraId="53BA7506" w14:textId="77777777" w:rsidR="000A7405" w:rsidRPr="00B82A62" w:rsidRDefault="000A7405" w:rsidP="00B465C1">
      <w:pPr>
        <w:spacing w:after="120"/>
        <w:jc w:val="both"/>
      </w:pPr>
      <w:r w:rsidRPr="00B82A62">
        <w:t>Ce comité de pilotage sera chargé de :</w:t>
      </w:r>
    </w:p>
    <w:p w14:paraId="53BA7507" w14:textId="3B2A3DE3" w:rsidR="000A7405" w:rsidRPr="00B82A62" w:rsidRDefault="000A7405" w:rsidP="00DD6002">
      <w:pPr>
        <w:pStyle w:val="Paragraphedeliste"/>
        <w:numPr>
          <w:ilvl w:val="0"/>
          <w:numId w:val="2"/>
        </w:numPr>
        <w:spacing w:after="120"/>
        <w:ind w:left="851" w:hanging="425"/>
        <w:jc w:val="both"/>
      </w:pPr>
      <w:r w:rsidRPr="00B82A62">
        <w:t>Faire un point régulier sur l’activ</w:t>
      </w:r>
      <w:r w:rsidR="005B0078">
        <w:t>ité globale du service d’évaluation</w:t>
      </w:r>
    </w:p>
    <w:p w14:paraId="53BA7508" w14:textId="0B8885FD" w:rsidR="000A7405" w:rsidRPr="00B82A62" w:rsidRDefault="000A7405" w:rsidP="00DD6002">
      <w:pPr>
        <w:pStyle w:val="Paragraphedeliste"/>
        <w:numPr>
          <w:ilvl w:val="0"/>
          <w:numId w:val="2"/>
        </w:numPr>
        <w:spacing w:after="120"/>
        <w:ind w:left="851" w:hanging="425"/>
        <w:jc w:val="both"/>
      </w:pPr>
      <w:r w:rsidRPr="00B82A62">
        <w:t>Véri</w:t>
      </w:r>
      <w:r w:rsidR="005B0078">
        <w:t xml:space="preserve">fier que le dispositif d’évaluation </w:t>
      </w:r>
      <w:r w:rsidR="005B0078" w:rsidRPr="00B82A62">
        <w:t>est</w:t>
      </w:r>
      <w:r w:rsidRPr="00B82A62">
        <w:t xml:space="preserve"> bien en adéquation avec les engagements contenus dans le présent cahier des charges</w:t>
      </w:r>
      <w:r w:rsidR="00C60722" w:rsidRPr="00B82A62">
        <w:t xml:space="preserve"> et la législation en vigueur. </w:t>
      </w:r>
    </w:p>
    <w:p w14:paraId="53BA7509" w14:textId="4E6D0E50" w:rsidR="000A7405" w:rsidRPr="00B82A62" w:rsidRDefault="000A7405" w:rsidP="00DD6002">
      <w:pPr>
        <w:pStyle w:val="Paragraphedeliste"/>
        <w:numPr>
          <w:ilvl w:val="0"/>
          <w:numId w:val="2"/>
        </w:numPr>
        <w:spacing w:after="120"/>
        <w:ind w:left="851" w:hanging="425"/>
        <w:jc w:val="both"/>
      </w:pPr>
      <w:r w:rsidRPr="00B82A62">
        <w:t>Proposer, le cas échéant, des orientations et des pistes d’évolution du dispositif</w:t>
      </w:r>
    </w:p>
    <w:p w14:paraId="37A7D1B4" w14:textId="68EB53F6" w:rsidR="00C60722" w:rsidRPr="00281086" w:rsidRDefault="00C60722" w:rsidP="00BF6DBE">
      <w:pPr>
        <w:shd w:val="clear" w:color="auto" w:fill="FFFFFF" w:themeFill="background1"/>
        <w:spacing w:after="120" w:line="240" w:lineRule="auto"/>
        <w:jc w:val="both"/>
        <w:rPr>
          <w:color w:val="FF0000"/>
        </w:rPr>
      </w:pPr>
    </w:p>
    <w:p w14:paraId="53BA750B" w14:textId="60947690" w:rsidR="002130EE" w:rsidRPr="00B82A62" w:rsidRDefault="002130EE" w:rsidP="00DD6002">
      <w:pPr>
        <w:pStyle w:val="Paragraphedeliste"/>
        <w:numPr>
          <w:ilvl w:val="0"/>
          <w:numId w:val="11"/>
        </w:numPr>
        <w:shd w:val="clear" w:color="auto" w:fill="FFFFFF" w:themeFill="background1"/>
        <w:spacing w:after="120" w:line="240" w:lineRule="auto"/>
        <w:ind w:left="284" w:hanging="284"/>
        <w:jc w:val="both"/>
        <w:rPr>
          <w:b/>
          <w:caps/>
          <w:sz w:val="24"/>
          <w:szCs w:val="24"/>
        </w:rPr>
      </w:pPr>
      <w:r w:rsidRPr="00B82A62">
        <w:rPr>
          <w:b/>
          <w:caps/>
          <w:sz w:val="24"/>
          <w:szCs w:val="24"/>
        </w:rPr>
        <w:t>Pièces à Fournir pour la réponse au présent appel à projet </w:t>
      </w:r>
    </w:p>
    <w:p w14:paraId="53BA750E" w14:textId="58830462" w:rsidR="00410428" w:rsidRPr="00B82A62" w:rsidRDefault="00410428" w:rsidP="00BF6DBE">
      <w:pPr>
        <w:shd w:val="clear" w:color="auto" w:fill="FFFFFF" w:themeFill="background1"/>
        <w:spacing w:after="0" w:line="240" w:lineRule="auto"/>
        <w:jc w:val="both"/>
        <w:textAlignment w:val="baseline"/>
        <w:rPr>
          <w:rFonts w:eastAsia="Times New Roman" w:cs="Tahoma"/>
          <w:lang w:eastAsia="fr-FR"/>
        </w:rPr>
      </w:pPr>
    </w:p>
    <w:p w14:paraId="53BA750F" w14:textId="77777777" w:rsidR="002130EE" w:rsidRPr="00B82A62" w:rsidRDefault="002130EE" w:rsidP="00DD6002">
      <w:pPr>
        <w:numPr>
          <w:ilvl w:val="0"/>
          <w:numId w:val="6"/>
        </w:numPr>
        <w:shd w:val="clear" w:color="auto" w:fill="FFFFFF" w:themeFill="background1"/>
        <w:spacing w:after="0" w:line="240" w:lineRule="auto"/>
        <w:ind w:left="851" w:hanging="284"/>
        <w:jc w:val="both"/>
        <w:textAlignment w:val="baseline"/>
        <w:rPr>
          <w:rFonts w:eastAsia="Times New Roman" w:cs="Tahoma"/>
          <w:b/>
          <w:lang w:eastAsia="fr-FR"/>
        </w:rPr>
      </w:pPr>
      <w:r w:rsidRPr="00B82A62">
        <w:rPr>
          <w:rFonts w:eastAsia="Times New Roman" w:cs="Tahoma"/>
          <w:b/>
          <w:lang w:eastAsia="fr-FR"/>
        </w:rPr>
        <w:t>Concernant la candidature :</w:t>
      </w:r>
    </w:p>
    <w:p w14:paraId="53BA7510" w14:textId="77777777" w:rsidR="00AB34ED" w:rsidRPr="00B82A62" w:rsidRDefault="00AB34ED" w:rsidP="00BF6DBE">
      <w:pPr>
        <w:shd w:val="clear" w:color="auto" w:fill="FFFFFF" w:themeFill="background1"/>
        <w:spacing w:after="0"/>
        <w:ind w:left="1068"/>
        <w:jc w:val="both"/>
        <w:textAlignment w:val="baseline"/>
        <w:rPr>
          <w:rFonts w:eastAsia="Times New Roman" w:cs="Tahoma"/>
          <w:b/>
          <w:lang w:eastAsia="fr-FR"/>
        </w:rPr>
      </w:pPr>
    </w:p>
    <w:p w14:paraId="53BA7511" w14:textId="77777777" w:rsidR="002130EE" w:rsidRPr="00B82A62" w:rsidRDefault="002130EE" w:rsidP="00DD6002">
      <w:pPr>
        <w:numPr>
          <w:ilvl w:val="0"/>
          <w:numId w:val="5"/>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Les documents permettant l’identification du candidat, notamment un exemplaire de ses statuts s’il s’agit d’une personne morale de droit privé.</w:t>
      </w:r>
    </w:p>
    <w:p w14:paraId="53BA7512" w14:textId="77777777" w:rsidR="002130EE" w:rsidRPr="00B82A62" w:rsidRDefault="002130EE" w:rsidP="00DD6002">
      <w:pPr>
        <w:numPr>
          <w:ilvl w:val="0"/>
          <w:numId w:val="5"/>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Une déclaration sur l’honneur du candidat certifiant qu’il n’est pas l’objet de l’une des condamnations devenues définitives mentionnées au livre III du code de l’action sociale et des familles.</w:t>
      </w:r>
    </w:p>
    <w:p w14:paraId="53BA7513" w14:textId="77777777" w:rsidR="002130EE" w:rsidRPr="00B82A62" w:rsidRDefault="002130EE" w:rsidP="00DD6002">
      <w:pPr>
        <w:numPr>
          <w:ilvl w:val="0"/>
          <w:numId w:val="5"/>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Une déclaration sur l’honneur certifiant qu’il n’est l’objet d’aucune des procédures mentionnée aux articles L313-16, L331-5, L471-3, L472-10, L474-2 ou L 474-5.</w:t>
      </w:r>
    </w:p>
    <w:p w14:paraId="53BA7514" w14:textId="77777777" w:rsidR="002130EE" w:rsidRPr="00B82A62" w:rsidRDefault="002130EE" w:rsidP="00DD6002">
      <w:pPr>
        <w:numPr>
          <w:ilvl w:val="0"/>
          <w:numId w:val="5"/>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Une copie de la dernière certification aux comptes s’il y est tenu en vertu du code de commerce.</w:t>
      </w:r>
    </w:p>
    <w:p w14:paraId="53BA7515" w14:textId="77777777" w:rsidR="002130EE" w:rsidRPr="00B82A62" w:rsidRDefault="002130EE" w:rsidP="00DD6002">
      <w:pPr>
        <w:numPr>
          <w:ilvl w:val="0"/>
          <w:numId w:val="5"/>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Des éléments descriptifs de son activité dans le domaine médico-social et de la situation financière de cette activité ou de son but social ou médico-social tel que résultant de ses statuts lorsqu’il ne dispose pas encore d’une telle activité.</w:t>
      </w:r>
    </w:p>
    <w:p w14:paraId="53BA7516" w14:textId="77777777" w:rsidR="002130EE" w:rsidRPr="00B82A62" w:rsidRDefault="002130EE" w:rsidP="00BF6DBE">
      <w:pPr>
        <w:shd w:val="clear" w:color="auto" w:fill="FFFFFF" w:themeFill="background1"/>
        <w:spacing w:after="0"/>
        <w:ind w:left="720"/>
        <w:jc w:val="both"/>
        <w:textAlignment w:val="baseline"/>
        <w:rPr>
          <w:rFonts w:eastAsia="Times New Roman" w:cs="Tahoma"/>
          <w:lang w:eastAsia="fr-FR"/>
        </w:rPr>
      </w:pPr>
    </w:p>
    <w:p w14:paraId="53BA7517" w14:textId="77777777" w:rsidR="002130EE" w:rsidRPr="00B82A62" w:rsidRDefault="002130EE" w:rsidP="00DD6002">
      <w:pPr>
        <w:numPr>
          <w:ilvl w:val="0"/>
          <w:numId w:val="6"/>
        </w:numPr>
        <w:shd w:val="clear" w:color="auto" w:fill="FFFFFF" w:themeFill="background1"/>
        <w:spacing w:after="0"/>
        <w:jc w:val="both"/>
        <w:textAlignment w:val="baseline"/>
        <w:rPr>
          <w:rFonts w:eastAsia="Times New Roman" w:cs="Tahoma"/>
          <w:b/>
          <w:lang w:eastAsia="fr-FR"/>
        </w:rPr>
      </w:pPr>
      <w:r w:rsidRPr="00B82A62">
        <w:rPr>
          <w:rFonts w:eastAsia="Times New Roman" w:cs="Tahoma"/>
          <w:b/>
          <w:lang w:eastAsia="fr-FR"/>
        </w:rPr>
        <w:t>Concernant la réponse au projet :</w:t>
      </w:r>
    </w:p>
    <w:p w14:paraId="53BA7518" w14:textId="77777777" w:rsidR="00AB34ED" w:rsidRPr="00B82A62" w:rsidRDefault="00AB34ED" w:rsidP="00BF6DBE">
      <w:pPr>
        <w:shd w:val="clear" w:color="auto" w:fill="FFFFFF" w:themeFill="background1"/>
        <w:spacing w:after="0"/>
        <w:ind w:left="1068"/>
        <w:jc w:val="both"/>
        <w:textAlignment w:val="baseline"/>
        <w:rPr>
          <w:rFonts w:eastAsia="Times New Roman" w:cs="Tahoma"/>
          <w:b/>
          <w:lang w:eastAsia="fr-FR"/>
        </w:rPr>
      </w:pPr>
    </w:p>
    <w:p w14:paraId="53BA7519" w14:textId="77777777" w:rsidR="002130EE" w:rsidRPr="00B82A62" w:rsidRDefault="002130EE" w:rsidP="00DD6002">
      <w:pPr>
        <w:numPr>
          <w:ilvl w:val="0"/>
          <w:numId w:val="7"/>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Tout document permettant de décrire de manière complète le projet en réponse aux besoins décrits par le cahier des charges.</w:t>
      </w:r>
    </w:p>
    <w:p w14:paraId="16B8BC22" w14:textId="3A0694CF" w:rsidR="004C3750" w:rsidRDefault="002130EE" w:rsidP="00DD6002">
      <w:pPr>
        <w:numPr>
          <w:ilvl w:val="0"/>
          <w:numId w:val="7"/>
        </w:numPr>
        <w:shd w:val="clear" w:color="auto" w:fill="FFFFFF" w:themeFill="background1"/>
        <w:spacing w:after="0"/>
        <w:ind w:left="1134" w:hanging="283"/>
        <w:jc w:val="both"/>
        <w:textAlignment w:val="baseline"/>
        <w:rPr>
          <w:rFonts w:eastAsia="Times New Roman" w:cs="Tahoma"/>
          <w:lang w:eastAsia="fr-FR"/>
        </w:rPr>
      </w:pPr>
      <w:r w:rsidRPr="00B82A62">
        <w:rPr>
          <w:rFonts w:eastAsia="Times New Roman" w:cs="Tahoma"/>
          <w:lang w:eastAsia="fr-FR"/>
        </w:rPr>
        <w:t xml:space="preserve">Un état descriptif des principales caractéristiques auxquelles le projet doit </w:t>
      </w:r>
      <w:r w:rsidR="00EE5F5B" w:rsidRPr="00B82A62">
        <w:rPr>
          <w:rFonts w:eastAsia="Times New Roman" w:cs="Tahoma"/>
          <w:lang w:eastAsia="fr-FR"/>
        </w:rPr>
        <w:t>satisfaire, comportant</w:t>
      </w:r>
      <w:r w:rsidRPr="00B82A62">
        <w:rPr>
          <w:rFonts w:eastAsia="Times New Roman" w:cs="Tahoma"/>
          <w:lang w:eastAsia="fr-FR"/>
        </w:rPr>
        <w:t xml:space="preserve"> notamment un bilan financier, un plan de financement et un budget prévisio</w:t>
      </w:r>
      <w:r w:rsidR="00EE5F5B">
        <w:rPr>
          <w:rFonts w:eastAsia="Times New Roman" w:cs="Tahoma"/>
          <w:lang w:eastAsia="fr-FR"/>
        </w:rPr>
        <w:t>nnel, un dossier relatif aux personnels (tableau des effectifs, les recrutements envisagés en termes de compétences et d’expérience, les éventuelles interventions extérieures,  la méthode d’évaluation prévue pour l’application de l’article L312-8 du CASF, le modalités de coopération envisagées en application de l’article L312-7 du CASF.</w:t>
      </w:r>
    </w:p>
    <w:p w14:paraId="398A32E5" w14:textId="77777777" w:rsidR="00EE5F5B" w:rsidRPr="00B82A62" w:rsidRDefault="00EE5F5B" w:rsidP="00EE5F5B">
      <w:pPr>
        <w:shd w:val="clear" w:color="auto" w:fill="FFFFFF" w:themeFill="background1"/>
        <w:spacing w:after="0"/>
        <w:ind w:left="1134"/>
        <w:jc w:val="both"/>
        <w:textAlignment w:val="baseline"/>
        <w:rPr>
          <w:rFonts w:eastAsia="Times New Roman" w:cs="Tahoma"/>
          <w:lang w:eastAsia="fr-FR"/>
        </w:rPr>
      </w:pPr>
    </w:p>
    <w:p w14:paraId="53BA751E" w14:textId="77777777" w:rsidR="002130EE" w:rsidRPr="00281086" w:rsidRDefault="002130EE" w:rsidP="00A003E1">
      <w:pPr>
        <w:shd w:val="clear" w:color="auto" w:fill="FFFFFF" w:themeFill="background1"/>
        <w:spacing w:after="0" w:line="240" w:lineRule="auto"/>
        <w:jc w:val="both"/>
        <w:textAlignment w:val="baseline"/>
        <w:rPr>
          <w:rFonts w:ascii="Tahoma" w:eastAsia="Times New Roman" w:hAnsi="Tahoma" w:cs="Tahoma"/>
          <w:color w:val="FF0000"/>
          <w:lang w:eastAsia="fr-FR"/>
        </w:rPr>
      </w:pPr>
    </w:p>
    <w:p w14:paraId="53BA751F" w14:textId="77777777" w:rsidR="002130EE" w:rsidRPr="00B82A62" w:rsidRDefault="00AB34ED" w:rsidP="00DD6002">
      <w:pPr>
        <w:pStyle w:val="Paragraphedeliste"/>
        <w:numPr>
          <w:ilvl w:val="0"/>
          <w:numId w:val="11"/>
        </w:numPr>
        <w:spacing w:after="120" w:line="240" w:lineRule="auto"/>
        <w:ind w:left="284" w:hanging="284"/>
        <w:jc w:val="both"/>
        <w:rPr>
          <w:b/>
          <w:spacing w:val="-6"/>
          <w:sz w:val="24"/>
          <w:szCs w:val="24"/>
        </w:rPr>
      </w:pPr>
      <w:r w:rsidRPr="00B82A62">
        <w:rPr>
          <w:b/>
          <w:spacing w:val="-6"/>
          <w:sz w:val="24"/>
          <w:szCs w:val="24"/>
        </w:rPr>
        <w:t>MODALITE</w:t>
      </w:r>
      <w:r w:rsidR="006E6C75" w:rsidRPr="00B82A62">
        <w:rPr>
          <w:b/>
          <w:spacing w:val="-6"/>
          <w:sz w:val="24"/>
          <w:szCs w:val="24"/>
        </w:rPr>
        <w:t>S</w:t>
      </w:r>
      <w:r w:rsidRPr="00B82A62">
        <w:rPr>
          <w:b/>
          <w:spacing w:val="-6"/>
          <w:sz w:val="24"/>
          <w:szCs w:val="24"/>
        </w:rPr>
        <w:t xml:space="preserve"> DE DEPOT DES DOSSIERS DE CANDIDATURE ET PIECES JUSTIFICATIVES EXIGIBLES</w:t>
      </w:r>
    </w:p>
    <w:p w14:paraId="53BA7520" w14:textId="77777777" w:rsidR="002130EE" w:rsidRPr="00281086" w:rsidRDefault="002130EE" w:rsidP="00BF6DBE">
      <w:pPr>
        <w:shd w:val="clear" w:color="auto" w:fill="FFFFFF" w:themeFill="background1"/>
        <w:spacing w:after="0"/>
        <w:jc w:val="both"/>
        <w:textAlignment w:val="baseline"/>
        <w:rPr>
          <w:rFonts w:ascii="Tahoma" w:eastAsia="Times New Roman" w:hAnsi="Tahoma" w:cs="Tahoma"/>
          <w:color w:val="FF0000"/>
          <w:lang w:eastAsia="fr-FR"/>
        </w:rPr>
      </w:pPr>
    </w:p>
    <w:p w14:paraId="53BA7521" w14:textId="25395EE1" w:rsidR="002130EE" w:rsidRPr="00B82A62" w:rsidRDefault="002130EE"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 xml:space="preserve">Chaque candidat, personne physique ou morale gestionnaire responsable du projet, devra adresser, en une seule fois, par courrier recommandé avec avis de réception, </w:t>
      </w:r>
      <w:r w:rsidRPr="00FD09E6">
        <w:rPr>
          <w:rFonts w:eastAsia="Times New Roman" w:cs="Tahoma"/>
          <w:b/>
          <w:lang w:eastAsia="fr-FR"/>
        </w:rPr>
        <w:t xml:space="preserve">au plus tard </w:t>
      </w:r>
      <w:r w:rsidR="00B82A62" w:rsidRPr="00FD09E6">
        <w:rPr>
          <w:rFonts w:eastAsia="Times New Roman" w:cs="Tahoma"/>
          <w:b/>
          <w:lang w:eastAsia="fr-FR"/>
        </w:rPr>
        <w:t>le</w:t>
      </w:r>
      <w:r w:rsidR="002133E2">
        <w:rPr>
          <w:rFonts w:eastAsia="Times New Roman" w:cs="Tahoma"/>
          <w:b/>
          <w:lang w:eastAsia="fr-FR"/>
        </w:rPr>
        <w:t xml:space="preserve"> </w:t>
      </w:r>
      <w:r w:rsidR="00FD09E6">
        <w:rPr>
          <w:rFonts w:eastAsia="Times New Roman" w:cs="Tahoma"/>
          <w:b/>
          <w:lang w:eastAsia="fr-FR"/>
        </w:rPr>
        <w:t>23</w:t>
      </w:r>
      <w:r w:rsidR="002133E2">
        <w:rPr>
          <w:rFonts w:eastAsia="Times New Roman" w:cs="Tahoma"/>
          <w:b/>
          <w:lang w:eastAsia="fr-FR"/>
        </w:rPr>
        <w:t xml:space="preserve"> Février 2024</w:t>
      </w:r>
      <w:r w:rsidRPr="00B82A62">
        <w:rPr>
          <w:rFonts w:eastAsia="Times New Roman" w:cs="Tahoma"/>
          <w:lang w:eastAsia="fr-FR"/>
        </w:rPr>
        <w:t>, un dossier de candidature sous les formes suivantes :</w:t>
      </w:r>
    </w:p>
    <w:p w14:paraId="53BA7522" w14:textId="77777777" w:rsidR="006E6C75" w:rsidRPr="00B82A62" w:rsidRDefault="006E6C75" w:rsidP="00BF6DBE">
      <w:pPr>
        <w:shd w:val="clear" w:color="auto" w:fill="FFFFFF" w:themeFill="background1"/>
        <w:spacing w:after="0"/>
        <w:jc w:val="both"/>
        <w:textAlignment w:val="baseline"/>
        <w:rPr>
          <w:rFonts w:eastAsia="Times New Roman" w:cs="Tahoma"/>
          <w:lang w:eastAsia="fr-FR"/>
        </w:rPr>
      </w:pPr>
    </w:p>
    <w:p w14:paraId="53BA7523" w14:textId="21B7782E" w:rsidR="002130EE" w:rsidRPr="00B82A62" w:rsidRDefault="006D20A8" w:rsidP="00DD6002">
      <w:pPr>
        <w:numPr>
          <w:ilvl w:val="0"/>
          <w:numId w:val="4"/>
        </w:num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3</w:t>
      </w:r>
      <w:r w:rsidR="002130EE" w:rsidRPr="00B82A62">
        <w:rPr>
          <w:rFonts w:eastAsia="Times New Roman" w:cs="Tahoma"/>
          <w:lang w:eastAsia="fr-FR"/>
        </w:rPr>
        <w:t xml:space="preserve"> exemplaires en version papier.</w:t>
      </w:r>
    </w:p>
    <w:p w14:paraId="53BA7524" w14:textId="77777777" w:rsidR="002130EE" w:rsidRPr="00B82A62" w:rsidRDefault="002130EE" w:rsidP="00DD6002">
      <w:pPr>
        <w:numPr>
          <w:ilvl w:val="0"/>
          <w:numId w:val="4"/>
        </w:num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 xml:space="preserve">Une version </w:t>
      </w:r>
      <w:r w:rsidR="00183DAD" w:rsidRPr="00B82A62">
        <w:rPr>
          <w:rFonts w:eastAsia="Times New Roman" w:cs="Tahoma"/>
          <w:lang w:eastAsia="fr-FR"/>
        </w:rPr>
        <w:t>dématérialisée (</w:t>
      </w:r>
      <w:r w:rsidR="0033366C" w:rsidRPr="00B82A62">
        <w:rPr>
          <w:rFonts w:eastAsia="Times New Roman" w:cs="Tahoma"/>
          <w:lang w:eastAsia="fr-FR"/>
        </w:rPr>
        <w:t>clé USB</w:t>
      </w:r>
      <w:r w:rsidRPr="00B82A62">
        <w:rPr>
          <w:rFonts w:eastAsia="Times New Roman" w:cs="Tahoma"/>
          <w:lang w:eastAsia="fr-FR"/>
        </w:rPr>
        <w:t>).</w:t>
      </w:r>
    </w:p>
    <w:p w14:paraId="53BA7525" w14:textId="77777777" w:rsidR="002130EE" w:rsidRPr="00281086" w:rsidRDefault="002130EE" w:rsidP="00BF6DBE">
      <w:pPr>
        <w:shd w:val="clear" w:color="auto" w:fill="FFFFFF" w:themeFill="background1"/>
        <w:spacing w:after="0"/>
        <w:ind w:left="1287"/>
        <w:jc w:val="both"/>
        <w:textAlignment w:val="baseline"/>
        <w:rPr>
          <w:rFonts w:eastAsia="Times New Roman" w:cs="Tahoma"/>
          <w:color w:val="FF0000"/>
          <w:lang w:eastAsia="fr-FR"/>
        </w:rPr>
      </w:pPr>
    </w:p>
    <w:p w14:paraId="53BA7526" w14:textId="448A797D" w:rsidR="002130EE" w:rsidRPr="00B82A62" w:rsidRDefault="006D20A8"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Les 3</w:t>
      </w:r>
      <w:r w:rsidR="002130EE" w:rsidRPr="00B82A62">
        <w:rPr>
          <w:rFonts w:eastAsia="Times New Roman" w:cs="Tahoma"/>
          <w:lang w:eastAsia="fr-FR"/>
        </w:rPr>
        <w:t xml:space="preserve"> dossiers de candidature et </w:t>
      </w:r>
      <w:r w:rsidR="0033366C" w:rsidRPr="00B82A62">
        <w:rPr>
          <w:rFonts w:eastAsia="Times New Roman" w:cs="Tahoma"/>
          <w:lang w:eastAsia="fr-FR"/>
        </w:rPr>
        <w:t>la clé USB</w:t>
      </w:r>
      <w:r w:rsidR="002130EE" w:rsidRPr="00B82A62">
        <w:rPr>
          <w:rFonts w:eastAsia="Times New Roman" w:cs="Tahoma"/>
          <w:lang w:eastAsia="fr-FR"/>
        </w:rPr>
        <w:t xml:space="preserve"> devront être adressés sous enveloppe cachetée port</w:t>
      </w:r>
      <w:r w:rsidR="00B82A62" w:rsidRPr="00B82A62">
        <w:rPr>
          <w:rFonts w:eastAsia="Times New Roman" w:cs="Tahoma"/>
          <w:lang w:eastAsia="fr-FR"/>
        </w:rPr>
        <w:t>ant mention « appel à projet 2023 DEF- ASE – Cellule MNA</w:t>
      </w:r>
      <w:r w:rsidR="002130EE" w:rsidRPr="00B82A62">
        <w:rPr>
          <w:rFonts w:eastAsia="Times New Roman" w:cs="Tahoma"/>
          <w:lang w:eastAsia="fr-FR"/>
        </w:rPr>
        <w:t> – NE PAS OUVRIR », comportant une sous enveloppe avec les documents concernant la candidature et une sous enveloppe concernant la réponse au projet, à l’adresse suivante :</w:t>
      </w:r>
    </w:p>
    <w:p w14:paraId="53BA7527" w14:textId="77777777" w:rsidR="001D4F08" w:rsidRPr="00B82A62" w:rsidRDefault="001D4F08" w:rsidP="00BF6DBE">
      <w:pPr>
        <w:shd w:val="clear" w:color="auto" w:fill="FFFFFF" w:themeFill="background1"/>
        <w:spacing w:after="0"/>
        <w:jc w:val="both"/>
        <w:textAlignment w:val="baseline"/>
        <w:rPr>
          <w:rFonts w:eastAsia="Times New Roman" w:cs="Tahoma"/>
          <w:lang w:eastAsia="fr-FR"/>
        </w:rPr>
      </w:pPr>
    </w:p>
    <w:p w14:paraId="53BA7528" w14:textId="77777777" w:rsidR="002130EE" w:rsidRPr="00B82A62" w:rsidRDefault="002130EE" w:rsidP="00BF6DBE">
      <w:pPr>
        <w:shd w:val="clear" w:color="auto" w:fill="FFFFFF" w:themeFill="background1"/>
        <w:spacing w:after="0"/>
        <w:ind w:left="1287"/>
        <w:textAlignment w:val="baseline"/>
        <w:rPr>
          <w:rFonts w:eastAsia="Times New Roman" w:cs="Tahoma"/>
          <w:lang w:eastAsia="fr-FR"/>
        </w:rPr>
      </w:pPr>
      <w:r w:rsidRPr="00B82A62">
        <w:rPr>
          <w:rFonts w:eastAsia="Times New Roman" w:cs="Tahoma"/>
          <w:lang w:eastAsia="fr-FR"/>
        </w:rPr>
        <w:t xml:space="preserve">Conseil </w:t>
      </w:r>
      <w:r w:rsidR="0033366C" w:rsidRPr="00B82A62">
        <w:rPr>
          <w:rFonts w:eastAsia="Times New Roman" w:cs="Tahoma"/>
          <w:lang w:eastAsia="fr-FR"/>
        </w:rPr>
        <w:t>départemental</w:t>
      </w:r>
      <w:r w:rsidRPr="00B82A62">
        <w:rPr>
          <w:rFonts w:eastAsia="Times New Roman" w:cs="Tahoma"/>
          <w:lang w:eastAsia="fr-FR"/>
        </w:rPr>
        <w:t xml:space="preserve"> des Vosges</w:t>
      </w:r>
    </w:p>
    <w:p w14:paraId="53BA7529" w14:textId="77777777" w:rsidR="002130EE" w:rsidRPr="00B82A62" w:rsidRDefault="002130EE" w:rsidP="00BF6DBE">
      <w:pPr>
        <w:shd w:val="clear" w:color="auto" w:fill="FFFFFF" w:themeFill="background1"/>
        <w:spacing w:after="0"/>
        <w:ind w:left="1287"/>
        <w:textAlignment w:val="baseline"/>
        <w:rPr>
          <w:rFonts w:eastAsia="Times New Roman" w:cs="Tahoma"/>
          <w:lang w:eastAsia="fr-FR"/>
        </w:rPr>
      </w:pPr>
      <w:r w:rsidRPr="00B82A62">
        <w:rPr>
          <w:rFonts w:eastAsia="Times New Roman" w:cs="Tahoma"/>
          <w:lang w:eastAsia="fr-FR"/>
        </w:rPr>
        <w:t xml:space="preserve">Pôle </w:t>
      </w:r>
      <w:r w:rsidR="00AB34ED" w:rsidRPr="00B82A62">
        <w:rPr>
          <w:rFonts w:eastAsia="Times New Roman" w:cs="Tahoma"/>
          <w:lang w:eastAsia="fr-FR"/>
        </w:rPr>
        <w:t>D</w:t>
      </w:r>
      <w:r w:rsidRPr="00B82A62">
        <w:rPr>
          <w:rFonts w:eastAsia="Times New Roman" w:cs="Tahoma"/>
          <w:lang w:eastAsia="fr-FR"/>
        </w:rPr>
        <w:t>éveloppement des Solidarités</w:t>
      </w:r>
    </w:p>
    <w:p w14:paraId="53BA752A" w14:textId="4997DAF0" w:rsidR="002130EE" w:rsidRPr="00B82A62" w:rsidRDefault="00112FC2" w:rsidP="00BF6DBE">
      <w:pPr>
        <w:shd w:val="clear" w:color="auto" w:fill="FFFFFF" w:themeFill="background1"/>
        <w:spacing w:after="0"/>
        <w:ind w:left="1287"/>
        <w:textAlignment w:val="baseline"/>
        <w:rPr>
          <w:rFonts w:eastAsia="Times New Roman" w:cs="Tahoma"/>
          <w:lang w:eastAsia="fr-FR"/>
        </w:rPr>
      </w:pPr>
      <w:r>
        <w:rPr>
          <w:rFonts w:eastAsia="Times New Roman" w:cs="Tahoma"/>
          <w:lang w:eastAsia="fr-FR"/>
        </w:rPr>
        <w:t>Direction Enfance Famille</w:t>
      </w:r>
    </w:p>
    <w:p w14:paraId="53BA752B" w14:textId="77777777" w:rsidR="002130EE" w:rsidRPr="00B82A62" w:rsidRDefault="002130EE" w:rsidP="00BF6DBE">
      <w:pPr>
        <w:shd w:val="clear" w:color="auto" w:fill="FFFFFF" w:themeFill="background1"/>
        <w:spacing w:after="0"/>
        <w:ind w:left="1287"/>
        <w:textAlignment w:val="baseline"/>
        <w:rPr>
          <w:rFonts w:eastAsia="Times New Roman" w:cs="Tahoma"/>
          <w:lang w:eastAsia="fr-FR"/>
        </w:rPr>
      </w:pPr>
      <w:r w:rsidRPr="00B82A62">
        <w:rPr>
          <w:rFonts w:eastAsia="Times New Roman" w:cs="Tahoma"/>
          <w:lang w:eastAsia="fr-FR"/>
        </w:rPr>
        <w:t xml:space="preserve">2 rue </w:t>
      </w:r>
      <w:r w:rsidR="00AB34ED" w:rsidRPr="00B82A62">
        <w:rPr>
          <w:rFonts w:eastAsia="Times New Roman" w:cs="Tahoma"/>
          <w:lang w:eastAsia="fr-FR"/>
        </w:rPr>
        <w:t>Grennevo</w:t>
      </w:r>
    </w:p>
    <w:p w14:paraId="53BA752C" w14:textId="77777777" w:rsidR="002130EE" w:rsidRPr="00B82A62" w:rsidRDefault="00AB34ED" w:rsidP="00BF6DBE">
      <w:pPr>
        <w:shd w:val="clear" w:color="auto" w:fill="FFFFFF" w:themeFill="background1"/>
        <w:spacing w:after="0"/>
        <w:ind w:left="1287"/>
        <w:jc w:val="both"/>
        <w:textAlignment w:val="baseline"/>
        <w:rPr>
          <w:rFonts w:eastAsia="Times New Roman" w:cs="Tahoma"/>
          <w:lang w:eastAsia="fr-FR"/>
        </w:rPr>
      </w:pPr>
      <w:r w:rsidRPr="00B82A62">
        <w:rPr>
          <w:rFonts w:eastAsia="Times New Roman" w:cs="Tahoma"/>
          <w:lang w:eastAsia="fr-FR"/>
        </w:rPr>
        <w:t>88</w:t>
      </w:r>
      <w:r w:rsidR="002130EE" w:rsidRPr="00B82A62">
        <w:rPr>
          <w:rFonts w:eastAsia="Times New Roman" w:cs="Tahoma"/>
          <w:lang w:eastAsia="fr-FR"/>
        </w:rPr>
        <w:t xml:space="preserve">026 </w:t>
      </w:r>
      <w:r w:rsidRPr="00B82A62">
        <w:rPr>
          <w:rFonts w:eastAsia="Times New Roman" w:cs="Tahoma"/>
          <w:lang w:eastAsia="fr-FR"/>
        </w:rPr>
        <w:t>EPINAL CEDEX</w:t>
      </w:r>
    </w:p>
    <w:p w14:paraId="53BA752D" w14:textId="77777777" w:rsidR="002130EE" w:rsidRPr="00B82A62" w:rsidRDefault="002130EE" w:rsidP="00BF6DBE">
      <w:pPr>
        <w:shd w:val="clear" w:color="auto" w:fill="FFFFFF" w:themeFill="background1"/>
        <w:spacing w:after="0"/>
        <w:jc w:val="both"/>
        <w:textAlignment w:val="baseline"/>
        <w:rPr>
          <w:rFonts w:ascii="Tahoma" w:eastAsia="Times New Roman" w:hAnsi="Tahoma" w:cs="Tahoma"/>
          <w:lang w:eastAsia="fr-FR"/>
        </w:rPr>
      </w:pPr>
    </w:p>
    <w:p w14:paraId="53BA752F" w14:textId="77777777" w:rsidR="002130EE" w:rsidRPr="00281086" w:rsidRDefault="002130EE" w:rsidP="00BF6DBE">
      <w:pPr>
        <w:shd w:val="clear" w:color="auto" w:fill="FFFFFF" w:themeFill="background1"/>
        <w:spacing w:after="0"/>
        <w:jc w:val="both"/>
        <w:textAlignment w:val="baseline"/>
        <w:rPr>
          <w:rFonts w:eastAsia="Times New Roman" w:cs="Tahoma"/>
          <w:color w:val="FF0000"/>
          <w:lang w:eastAsia="fr-FR"/>
        </w:rPr>
      </w:pPr>
    </w:p>
    <w:p w14:paraId="53BA7530" w14:textId="28E05DFA" w:rsidR="002130EE" w:rsidRPr="00B82A62" w:rsidRDefault="002130EE"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 xml:space="preserve">La liste des documents devant être transmis par le candidat </w:t>
      </w:r>
      <w:r w:rsidR="006E6C75" w:rsidRPr="00B82A62">
        <w:rPr>
          <w:rFonts w:eastAsia="Times New Roman" w:cs="Tahoma"/>
          <w:lang w:eastAsia="fr-FR"/>
        </w:rPr>
        <w:t>est</w:t>
      </w:r>
      <w:r w:rsidRPr="00B82A62">
        <w:rPr>
          <w:rFonts w:eastAsia="Times New Roman" w:cs="Tahoma"/>
          <w:lang w:eastAsia="fr-FR"/>
        </w:rPr>
        <w:t xml:space="preserve"> prévu</w:t>
      </w:r>
      <w:r w:rsidR="006E6C75" w:rsidRPr="00B82A62">
        <w:rPr>
          <w:rFonts w:eastAsia="Times New Roman" w:cs="Tahoma"/>
          <w:lang w:eastAsia="fr-FR"/>
        </w:rPr>
        <w:t>e</w:t>
      </w:r>
      <w:r w:rsidR="00065170">
        <w:rPr>
          <w:rFonts w:eastAsia="Times New Roman" w:cs="Tahoma"/>
          <w:lang w:eastAsia="fr-FR"/>
        </w:rPr>
        <w:t xml:space="preserve"> au paragraphe 6</w:t>
      </w:r>
      <w:r w:rsidRPr="00B82A62">
        <w:rPr>
          <w:rFonts w:eastAsia="Times New Roman" w:cs="Tahoma"/>
          <w:lang w:eastAsia="fr-FR"/>
        </w:rPr>
        <w:t xml:space="preserve"> du présent avis d’appel à projet. Seuls les documents relatifs à la candidature pourront faire l’objet d’une demande de complément dès ouverture du dossier.</w:t>
      </w:r>
    </w:p>
    <w:p w14:paraId="53BA7531" w14:textId="77777777" w:rsidR="002130EE" w:rsidRPr="00B82A62" w:rsidRDefault="002130EE" w:rsidP="00BF6DBE">
      <w:pPr>
        <w:shd w:val="clear" w:color="auto" w:fill="FFFFFF" w:themeFill="background1"/>
        <w:spacing w:after="0"/>
        <w:jc w:val="both"/>
        <w:textAlignment w:val="baseline"/>
        <w:rPr>
          <w:rFonts w:ascii="Tahoma" w:eastAsia="Times New Roman" w:hAnsi="Tahoma" w:cs="Tahoma"/>
          <w:lang w:eastAsia="fr-FR"/>
        </w:rPr>
      </w:pPr>
    </w:p>
    <w:p w14:paraId="53BA7532" w14:textId="77777777" w:rsidR="002130EE" w:rsidRPr="00B82A62" w:rsidRDefault="002130EE" w:rsidP="00DD6002">
      <w:pPr>
        <w:pStyle w:val="Paragraphedeliste"/>
        <w:numPr>
          <w:ilvl w:val="0"/>
          <w:numId w:val="11"/>
        </w:numPr>
        <w:shd w:val="clear" w:color="auto" w:fill="FFFFFF" w:themeFill="background1"/>
        <w:spacing w:after="120"/>
        <w:ind w:left="284" w:hanging="284"/>
        <w:jc w:val="both"/>
        <w:rPr>
          <w:b/>
          <w:caps/>
          <w:sz w:val="24"/>
          <w:szCs w:val="24"/>
        </w:rPr>
      </w:pPr>
      <w:r w:rsidRPr="00B82A62">
        <w:rPr>
          <w:b/>
          <w:caps/>
          <w:sz w:val="24"/>
          <w:szCs w:val="24"/>
        </w:rPr>
        <w:t>Date de publication et modalités de consultation de l’avis.</w:t>
      </w:r>
    </w:p>
    <w:p w14:paraId="53BA7533" w14:textId="77777777" w:rsidR="002130EE" w:rsidRPr="00B82A62" w:rsidRDefault="002130EE" w:rsidP="00BF6DBE">
      <w:pPr>
        <w:shd w:val="clear" w:color="auto" w:fill="FFFFFF" w:themeFill="background1"/>
        <w:spacing w:after="0"/>
        <w:jc w:val="both"/>
        <w:textAlignment w:val="baseline"/>
        <w:rPr>
          <w:rFonts w:ascii="Tahoma" w:eastAsia="Times New Roman" w:hAnsi="Tahoma" w:cs="Tahoma"/>
          <w:lang w:eastAsia="fr-FR"/>
        </w:rPr>
      </w:pPr>
    </w:p>
    <w:p w14:paraId="53BA7534" w14:textId="0F8D41F8" w:rsidR="002130EE" w:rsidRPr="00B82A62" w:rsidRDefault="002130EE"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L’avis d’appel à projet</w:t>
      </w:r>
      <w:r w:rsidR="00C60722" w:rsidRPr="00B82A62">
        <w:rPr>
          <w:rFonts w:eastAsia="Times New Roman" w:cs="Tahoma"/>
          <w:lang w:eastAsia="fr-FR"/>
        </w:rPr>
        <w:t>s</w:t>
      </w:r>
      <w:r w:rsidRPr="00B82A62">
        <w:rPr>
          <w:rFonts w:eastAsia="Times New Roman" w:cs="Tahoma"/>
          <w:lang w:eastAsia="fr-FR"/>
        </w:rPr>
        <w:t xml:space="preserve"> sera publié au recueil des actes administratifs du Département des Vosges.</w:t>
      </w:r>
    </w:p>
    <w:p w14:paraId="53BA7535" w14:textId="77777777" w:rsidR="002130EE" w:rsidRPr="00B82A62" w:rsidRDefault="002130EE" w:rsidP="00BF6DBE">
      <w:pPr>
        <w:shd w:val="clear" w:color="auto" w:fill="FFFFFF" w:themeFill="background1"/>
        <w:spacing w:after="0"/>
        <w:jc w:val="both"/>
        <w:textAlignment w:val="baseline"/>
        <w:rPr>
          <w:rFonts w:eastAsia="Times New Roman" w:cs="Tahoma"/>
          <w:lang w:eastAsia="fr-FR"/>
        </w:rPr>
      </w:pPr>
    </w:p>
    <w:p w14:paraId="53BA7536" w14:textId="68EB8182" w:rsidR="002130EE" w:rsidRPr="00B82A62" w:rsidRDefault="002130EE"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t xml:space="preserve">Des précisions complémentaires pourront être sollicitées avant le </w:t>
      </w:r>
      <w:r w:rsidR="00FD09E6" w:rsidRPr="00FD09E6">
        <w:rPr>
          <w:rFonts w:eastAsia="Times New Roman" w:cs="Tahoma"/>
          <w:b/>
          <w:lang w:eastAsia="fr-FR"/>
        </w:rPr>
        <w:t>16 Février</w:t>
      </w:r>
      <w:r w:rsidR="00FD09E6">
        <w:rPr>
          <w:rFonts w:eastAsia="Times New Roman" w:cs="Tahoma"/>
          <w:lang w:eastAsia="fr-FR"/>
        </w:rPr>
        <w:t xml:space="preserve"> </w:t>
      </w:r>
      <w:r w:rsidR="002133E2">
        <w:rPr>
          <w:rFonts w:eastAsia="Times New Roman" w:cs="Tahoma"/>
          <w:b/>
          <w:lang w:eastAsia="fr-FR"/>
        </w:rPr>
        <w:t xml:space="preserve">2024 </w:t>
      </w:r>
      <w:r w:rsidR="004925F7" w:rsidRPr="00B82A62">
        <w:rPr>
          <w:rFonts w:eastAsia="Times New Roman" w:cs="Tahoma"/>
          <w:lang w:eastAsia="fr-FR"/>
        </w:rPr>
        <w:t>par messagerie à l’adresse de :</w:t>
      </w:r>
    </w:p>
    <w:p w14:paraId="0C2B44FE" w14:textId="13890749" w:rsidR="00B82E8C" w:rsidRPr="00B82A62" w:rsidRDefault="004C3750"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sym w:font="Wingdings 3" w:char="F0CA"/>
      </w:r>
      <w:r w:rsidR="00B82E8C" w:rsidRPr="00B82A62">
        <w:rPr>
          <w:rFonts w:eastAsia="Times New Roman" w:cs="Tahoma"/>
          <w:lang w:eastAsia="fr-FR"/>
        </w:rPr>
        <w:t xml:space="preserve"> Mme</w:t>
      </w:r>
      <w:r w:rsidR="00B82A62" w:rsidRPr="00B82A62">
        <w:rPr>
          <w:rFonts w:eastAsia="Times New Roman" w:cs="Tahoma"/>
          <w:lang w:eastAsia="fr-FR"/>
        </w:rPr>
        <w:t xml:space="preserve"> Catherine BOTTERO, </w:t>
      </w:r>
      <w:r w:rsidR="00B82E8C" w:rsidRPr="00B82A62">
        <w:rPr>
          <w:rFonts w:eastAsia="Times New Roman" w:cs="Tahoma"/>
          <w:lang w:eastAsia="fr-FR"/>
        </w:rPr>
        <w:t>Directeu</w:t>
      </w:r>
      <w:r w:rsidR="00B82A62" w:rsidRPr="00B82A62">
        <w:rPr>
          <w:rFonts w:eastAsia="Times New Roman" w:cs="Tahoma"/>
          <w:lang w:eastAsia="fr-FR"/>
        </w:rPr>
        <w:t>r de l’Enfance et de la F</w:t>
      </w:r>
      <w:r w:rsidR="00B82E8C" w:rsidRPr="00B82A62">
        <w:rPr>
          <w:rFonts w:eastAsia="Times New Roman" w:cs="Tahoma"/>
          <w:lang w:eastAsia="fr-FR"/>
        </w:rPr>
        <w:t xml:space="preserve">amille : </w:t>
      </w:r>
      <w:hyperlink r:id="rId11" w:history="1">
        <w:r w:rsidR="00B82E8C" w:rsidRPr="00B82A62">
          <w:rPr>
            <w:rStyle w:val="Lienhypertexte"/>
            <w:rFonts w:eastAsia="Times New Roman" w:cs="Tahoma"/>
            <w:color w:val="auto"/>
            <w:lang w:eastAsia="fr-FR"/>
          </w:rPr>
          <w:t>cbottero@vosges.fr</w:t>
        </w:r>
      </w:hyperlink>
    </w:p>
    <w:p w14:paraId="476E4609" w14:textId="0ABE0C55" w:rsidR="00B82E8C" w:rsidRPr="00B82A62" w:rsidRDefault="004C3750" w:rsidP="00BF6DBE">
      <w:pPr>
        <w:shd w:val="clear" w:color="auto" w:fill="FFFFFF" w:themeFill="background1"/>
        <w:spacing w:after="0"/>
        <w:jc w:val="both"/>
        <w:textAlignment w:val="baseline"/>
        <w:rPr>
          <w:rFonts w:eastAsia="Times New Roman" w:cs="Tahoma"/>
          <w:lang w:eastAsia="fr-FR"/>
        </w:rPr>
      </w:pPr>
      <w:r w:rsidRPr="00B82A62">
        <w:rPr>
          <w:rFonts w:eastAsia="Times New Roman" w:cs="Tahoma"/>
          <w:lang w:eastAsia="fr-FR"/>
        </w:rPr>
        <w:sym w:font="Wingdings 3" w:char="F0CA"/>
      </w:r>
      <w:r w:rsidR="006E6C75" w:rsidRPr="00B82A62">
        <w:rPr>
          <w:rFonts w:eastAsia="Times New Roman" w:cs="Tahoma"/>
          <w:lang w:eastAsia="fr-FR"/>
        </w:rPr>
        <w:t> </w:t>
      </w:r>
      <w:r w:rsidR="00B82E8C" w:rsidRPr="00B82A62">
        <w:rPr>
          <w:rStyle w:val="Lienhypertexte"/>
          <w:rFonts w:eastAsia="Times New Roman" w:cs="Tahoma"/>
          <w:color w:val="auto"/>
          <w:u w:val="none"/>
          <w:lang w:eastAsia="fr-FR"/>
        </w:rPr>
        <w:t xml:space="preserve"> Mme Aurélie BEDE</w:t>
      </w:r>
      <w:r w:rsidR="00B82A62" w:rsidRPr="00B82A62">
        <w:rPr>
          <w:rStyle w:val="Lienhypertexte"/>
          <w:rFonts w:eastAsia="Times New Roman" w:cs="Tahoma"/>
          <w:color w:val="auto"/>
          <w:u w:val="none"/>
          <w:lang w:eastAsia="fr-FR"/>
        </w:rPr>
        <w:t xml:space="preserve">L, Chef du service </w:t>
      </w:r>
      <w:r w:rsidR="00B82E8C" w:rsidRPr="00B82A62">
        <w:rPr>
          <w:rStyle w:val="Lienhypertexte"/>
          <w:rFonts w:eastAsia="Times New Roman" w:cs="Tahoma"/>
          <w:color w:val="auto"/>
          <w:u w:val="none"/>
          <w:lang w:eastAsia="fr-FR"/>
        </w:rPr>
        <w:t xml:space="preserve">Aide Sociale à l’Enfance : </w:t>
      </w:r>
      <w:hyperlink r:id="rId12" w:history="1">
        <w:r w:rsidR="00B82E8C" w:rsidRPr="00B82A62">
          <w:rPr>
            <w:rStyle w:val="Lienhypertexte"/>
            <w:rFonts w:eastAsia="Times New Roman" w:cs="Tahoma"/>
            <w:color w:val="auto"/>
            <w:lang w:eastAsia="fr-FR"/>
          </w:rPr>
          <w:t>abedel@vosges.fr</w:t>
        </w:r>
      </w:hyperlink>
    </w:p>
    <w:p w14:paraId="5ECA7C84" w14:textId="1CA27AD0" w:rsidR="00B82A62" w:rsidRPr="00281086" w:rsidRDefault="00B82A62" w:rsidP="00B82A62">
      <w:pPr>
        <w:shd w:val="clear" w:color="auto" w:fill="FFFFFF" w:themeFill="background1"/>
        <w:tabs>
          <w:tab w:val="left" w:pos="1608"/>
        </w:tabs>
        <w:jc w:val="both"/>
        <w:rPr>
          <w:rFonts w:ascii="Tahoma" w:eastAsia="Times New Roman" w:hAnsi="Tahoma" w:cs="Tahoma"/>
          <w:color w:val="FF0000"/>
          <w:lang w:eastAsia="fr-FR"/>
        </w:rPr>
      </w:pPr>
      <w:r>
        <w:rPr>
          <w:rFonts w:ascii="Tahoma" w:eastAsia="Times New Roman" w:hAnsi="Tahoma" w:cs="Tahoma"/>
          <w:color w:val="FF0000"/>
          <w:lang w:eastAsia="fr-FR"/>
        </w:rPr>
        <w:tab/>
      </w:r>
    </w:p>
    <w:p w14:paraId="53BA753A" w14:textId="2DD09D63" w:rsidR="002130EE" w:rsidRPr="00B82A62" w:rsidRDefault="002130EE" w:rsidP="00DD6002">
      <w:pPr>
        <w:pStyle w:val="Paragraphedeliste"/>
        <w:numPr>
          <w:ilvl w:val="0"/>
          <w:numId w:val="11"/>
        </w:numPr>
        <w:shd w:val="clear" w:color="auto" w:fill="FFFFFF" w:themeFill="background1"/>
        <w:spacing w:after="120"/>
        <w:jc w:val="both"/>
        <w:rPr>
          <w:b/>
          <w:caps/>
          <w:sz w:val="24"/>
          <w:szCs w:val="24"/>
        </w:rPr>
      </w:pPr>
      <w:r w:rsidRPr="00B82A62">
        <w:rPr>
          <w:b/>
          <w:caps/>
          <w:sz w:val="24"/>
          <w:szCs w:val="24"/>
        </w:rPr>
        <w:t>Critères de sélection.</w:t>
      </w:r>
      <w:r w:rsidR="005B0078">
        <w:rPr>
          <w:b/>
          <w:caps/>
          <w:sz w:val="24"/>
          <w:szCs w:val="24"/>
        </w:rPr>
        <w:t xml:space="preserve"> </w:t>
      </w:r>
    </w:p>
    <w:p w14:paraId="53BA753B" w14:textId="77777777" w:rsidR="004925F7" w:rsidRPr="00B82A62" w:rsidRDefault="004925F7" w:rsidP="00BF6DBE">
      <w:pPr>
        <w:pStyle w:val="Paragraphedeliste"/>
        <w:shd w:val="clear" w:color="auto" w:fill="FFFFFF" w:themeFill="background1"/>
        <w:spacing w:after="0"/>
        <w:ind w:left="360"/>
        <w:jc w:val="both"/>
        <w:textAlignment w:val="baseline"/>
        <w:rPr>
          <w:rFonts w:ascii="Tahoma" w:eastAsia="Times New Roman" w:hAnsi="Tahoma" w:cs="Tahoma"/>
          <w:lang w:eastAsia="fr-FR"/>
        </w:rPr>
      </w:pPr>
    </w:p>
    <w:p w14:paraId="53BA753C" w14:textId="77777777" w:rsidR="002130EE" w:rsidRPr="00B82A62" w:rsidRDefault="002130EE" w:rsidP="00BF6DBE">
      <w:pPr>
        <w:shd w:val="clear" w:color="auto" w:fill="FFFFFF" w:themeFill="background1"/>
        <w:jc w:val="both"/>
        <w:rPr>
          <w:b/>
        </w:rPr>
      </w:pPr>
      <w:r w:rsidRPr="00B82A62">
        <w:rPr>
          <w:b/>
        </w:rPr>
        <w:t xml:space="preserve">Pour chacun des paragraphes mentionnés ci-dessus, le candidat devra décrire les modalités d’organisation, de mises en œuvre du projet. </w:t>
      </w:r>
    </w:p>
    <w:p w14:paraId="53BA753D" w14:textId="66108C4D" w:rsidR="002130EE" w:rsidRPr="00B82A62" w:rsidRDefault="002130EE" w:rsidP="00BF6DBE">
      <w:pPr>
        <w:shd w:val="clear" w:color="auto" w:fill="FFFFFF" w:themeFill="background1"/>
        <w:jc w:val="both"/>
        <w:rPr>
          <w:b/>
        </w:rPr>
      </w:pPr>
      <w:r w:rsidRPr="00B82A62">
        <w:rPr>
          <w:b/>
        </w:rPr>
        <w:t>Les critères de sélections s’effectueront comme suit :</w:t>
      </w:r>
    </w:p>
    <w:p w14:paraId="23E347E8" w14:textId="77777777" w:rsidR="004C3750" w:rsidRPr="00B82A62" w:rsidRDefault="004C3750" w:rsidP="00BF6DBE">
      <w:pPr>
        <w:shd w:val="clear" w:color="auto" w:fill="FFFFFF" w:themeFill="background1"/>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5602"/>
        <w:gridCol w:w="708"/>
        <w:gridCol w:w="599"/>
      </w:tblGrid>
      <w:tr w:rsidR="00B82A62" w:rsidRPr="00B82A62" w14:paraId="53BA7542" w14:textId="77777777" w:rsidTr="006E6C75">
        <w:tc>
          <w:tcPr>
            <w:tcW w:w="2303" w:type="dxa"/>
            <w:shd w:val="clear" w:color="auto" w:fill="auto"/>
          </w:tcPr>
          <w:p w14:paraId="53BA753E" w14:textId="77777777" w:rsidR="002130EE" w:rsidRPr="00B82A62" w:rsidRDefault="002130EE" w:rsidP="00BF6DBE">
            <w:pPr>
              <w:shd w:val="clear" w:color="auto" w:fill="FFFFFF" w:themeFill="background1"/>
              <w:spacing w:after="0" w:line="240" w:lineRule="auto"/>
              <w:jc w:val="center"/>
              <w:rPr>
                <w:b/>
              </w:rPr>
            </w:pPr>
            <w:r w:rsidRPr="00B82A62">
              <w:rPr>
                <w:b/>
              </w:rPr>
              <w:t>Thèmes</w:t>
            </w:r>
          </w:p>
        </w:tc>
        <w:tc>
          <w:tcPr>
            <w:tcW w:w="5602" w:type="dxa"/>
            <w:shd w:val="clear" w:color="auto" w:fill="auto"/>
          </w:tcPr>
          <w:p w14:paraId="53BA753F" w14:textId="77777777" w:rsidR="002130EE" w:rsidRPr="00B82A62" w:rsidRDefault="002130EE" w:rsidP="00BF6DBE">
            <w:pPr>
              <w:shd w:val="clear" w:color="auto" w:fill="FFFFFF" w:themeFill="background1"/>
              <w:spacing w:after="0" w:line="240" w:lineRule="auto"/>
              <w:jc w:val="center"/>
              <w:rPr>
                <w:b/>
              </w:rPr>
            </w:pPr>
            <w:r w:rsidRPr="00B82A62">
              <w:rPr>
                <w:b/>
              </w:rPr>
              <w:t>Critères</w:t>
            </w:r>
          </w:p>
        </w:tc>
        <w:tc>
          <w:tcPr>
            <w:tcW w:w="708" w:type="dxa"/>
            <w:shd w:val="clear" w:color="auto" w:fill="auto"/>
          </w:tcPr>
          <w:p w14:paraId="53BA7540" w14:textId="77777777" w:rsidR="002130EE" w:rsidRPr="00B82A62" w:rsidRDefault="002130EE" w:rsidP="00BF6DBE">
            <w:pPr>
              <w:shd w:val="clear" w:color="auto" w:fill="FFFFFF" w:themeFill="background1"/>
              <w:spacing w:after="0" w:line="240" w:lineRule="auto"/>
              <w:jc w:val="center"/>
              <w:rPr>
                <w:b/>
              </w:rPr>
            </w:pPr>
          </w:p>
        </w:tc>
        <w:tc>
          <w:tcPr>
            <w:tcW w:w="599" w:type="dxa"/>
            <w:vMerge w:val="restart"/>
            <w:shd w:val="clear" w:color="auto" w:fill="auto"/>
            <w:vAlign w:val="center"/>
          </w:tcPr>
          <w:p w14:paraId="53BA7541" w14:textId="6DE5D2AC" w:rsidR="002130EE" w:rsidRPr="00B82A62" w:rsidRDefault="004C3A8B" w:rsidP="00BF6DBE">
            <w:pPr>
              <w:shd w:val="clear" w:color="auto" w:fill="FFFFFF" w:themeFill="background1"/>
              <w:spacing w:after="0" w:line="240" w:lineRule="auto"/>
              <w:jc w:val="center"/>
              <w:rPr>
                <w:b/>
              </w:rPr>
            </w:pPr>
            <w:r>
              <w:rPr>
                <w:b/>
              </w:rPr>
              <w:t>40</w:t>
            </w:r>
          </w:p>
        </w:tc>
      </w:tr>
      <w:tr w:rsidR="00B82A62" w:rsidRPr="00B82A62" w14:paraId="53BA7547" w14:textId="77777777" w:rsidTr="006E6C75">
        <w:tc>
          <w:tcPr>
            <w:tcW w:w="2303" w:type="dxa"/>
            <w:shd w:val="clear" w:color="auto" w:fill="auto"/>
            <w:vAlign w:val="center"/>
          </w:tcPr>
          <w:p w14:paraId="53BA7543" w14:textId="1AF900D8" w:rsidR="002130EE" w:rsidRPr="00B82A62" w:rsidRDefault="007E1E6E" w:rsidP="00BF6DBE">
            <w:pPr>
              <w:shd w:val="clear" w:color="auto" w:fill="FFFFFF" w:themeFill="background1"/>
              <w:spacing w:after="0" w:line="240" w:lineRule="auto"/>
              <w:jc w:val="center"/>
            </w:pPr>
            <w:r>
              <w:rPr>
                <w:b/>
              </w:rPr>
              <w:t>Qualité du projet</w:t>
            </w:r>
          </w:p>
        </w:tc>
        <w:tc>
          <w:tcPr>
            <w:tcW w:w="5602" w:type="dxa"/>
            <w:shd w:val="clear" w:color="auto" w:fill="auto"/>
          </w:tcPr>
          <w:p w14:paraId="26C4E449" w14:textId="14F5FD55" w:rsidR="002130EE" w:rsidRDefault="007E1E6E" w:rsidP="00BF6DBE">
            <w:pPr>
              <w:shd w:val="clear" w:color="auto" w:fill="FFFFFF" w:themeFill="background1"/>
              <w:spacing w:after="0" w:line="240" w:lineRule="auto"/>
              <w:jc w:val="both"/>
            </w:pPr>
            <w:r>
              <w:t>Compréhension du besoin : périmètre d’intervention</w:t>
            </w:r>
          </w:p>
          <w:p w14:paraId="4C81A457" w14:textId="77777777" w:rsidR="007E1E6E" w:rsidRDefault="007E1E6E" w:rsidP="00BF6DBE">
            <w:pPr>
              <w:shd w:val="clear" w:color="auto" w:fill="FFFFFF" w:themeFill="background1"/>
              <w:spacing w:after="0" w:line="240" w:lineRule="auto"/>
              <w:jc w:val="both"/>
            </w:pPr>
            <w:r>
              <w:t>Contenu du projet : appropriation du cahier des charges</w:t>
            </w:r>
          </w:p>
          <w:p w14:paraId="34108649" w14:textId="31258E62" w:rsidR="007E1E6E" w:rsidRDefault="007E1E6E" w:rsidP="00BF6DBE">
            <w:pPr>
              <w:shd w:val="clear" w:color="auto" w:fill="FFFFFF" w:themeFill="background1"/>
              <w:spacing w:after="0" w:line="240" w:lineRule="auto"/>
              <w:jc w:val="both"/>
            </w:pPr>
            <w:r>
              <w:t>Qualité des propositions : Réponses aux attendus du cahier des charges</w:t>
            </w:r>
          </w:p>
          <w:p w14:paraId="08D41268" w14:textId="28C044A2" w:rsidR="00D6071D" w:rsidRDefault="00D6071D" w:rsidP="00BF6DBE">
            <w:pPr>
              <w:shd w:val="clear" w:color="auto" w:fill="FFFFFF" w:themeFill="background1"/>
              <w:spacing w:after="0" w:line="240" w:lineRule="auto"/>
              <w:jc w:val="both"/>
            </w:pPr>
            <w:r>
              <w:t>Méthode et outils mis en œuvre</w:t>
            </w:r>
          </w:p>
          <w:p w14:paraId="53BA7544" w14:textId="07BB35ED" w:rsidR="007E1E6E" w:rsidRPr="00B82A62" w:rsidRDefault="007E1E6E" w:rsidP="00BF6DBE">
            <w:pPr>
              <w:shd w:val="clear" w:color="auto" w:fill="FFFFFF" w:themeFill="background1"/>
              <w:spacing w:after="0" w:line="240" w:lineRule="auto"/>
              <w:jc w:val="both"/>
            </w:pPr>
          </w:p>
        </w:tc>
        <w:tc>
          <w:tcPr>
            <w:tcW w:w="708" w:type="dxa"/>
            <w:shd w:val="clear" w:color="auto" w:fill="auto"/>
            <w:vAlign w:val="center"/>
          </w:tcPr>
          <w:p w14:paraId="1552463A" w14:textId="77777777" w:rsidR="004C3A8B" w:rsidRDefault="004C3A8B" w:rsidP="00BF6DBE">
            <w:pPr>
              <w:shd w:val="clear" w:color="auto" w:fill="FFFFFF" w:themeFill="background1"/>
              <w:spacing w:after="0" w:line="240" w:lineRule="auto"/>
              <w:jc w:val="center"/>
            </w:pPr>
            <w:r>
              <w:t>10</w:t>
            </w:r>
          </w:p>
          <w:p w14:paraId="24FEDFE4" w14:textId="5344E6AC" w:rsidR="007E1E6E" w:rsidRDefault="004C3A8B" w:rsidP="00BF6DBE">
            <w:pPr>
              <w:shd w:val="clear" w:color="auto" w:fill="FFFFFF" w:themeFill="background1"/>
              <w:spacing w:after="0" w:line="240" w:lineRule="auto"/>
              <w:jc w:val="center"/>
            </w:pPr>
            <w:r>
              <w:t>10</w:t>
            </w:r>
          </w:p>
          <w:p w14:paraId="08248DEA" w14:textId="0CD64BEE" w:rsidR="007E1E6E" w:rsidRDefault="004C3A8B" w:rsidP="00BF6DBE">
            <w:pPr>
              <w:shd w:val="clear" w:color="auto" w:fill="FFFFFF" w:themeFill="background1"/>
              <w:spacing w:after="0" w:line="240" w:lineRule="auto"/>
              <w:jc w:val="center"/>
            </w:pPr>
            <w:r>
              <w:t>10</w:t>
            </w:r>
          </w:p>
          <w:p w14:paraId="142B936C" w14:textId="3A6FF47B" w:rsidR="004C3A8B" w:rsidRDefault="004C3A8B" w:rsidP="00BF6DBE">
            <w:pPr>
              <w:shd w:val="clear" w:color="auto" w:fill="FFFFFF" w:themeFill="background1"/>
              <w:spacing w:after="0" w:line="240" w:lineRule="auto"/>
              <w:jc w:val="center"/>
            </w:pPr>
          </w:p>
          <w:p w14:paraId="47F43BFC" w14:textId="61CD2458" w:rsidR="002130EE" w:rsidRDefault="004C3A8B" w:rsidP="004C3A8B">
            <w:pPr>
              <w:shd w:val="clear" w:color="auto" w:fill="FFFFFF" w:themeFill="background1"/>
              <w:spacing w:after="0" w:line="240" w:lineRule="auto"/>
            </w:pPr>
            <w:r>
              <w:t xml:space="preserve">   10</w:t>
            </w:r>
          </w:p>
          <w:p w14:paraId="53BA7545" w14:textId="4EE3DDCE" w:rsidR="004C3A8B" w:rsidRPr="00B82A62" w:rsidRDefault="004C3A8B" w:rsidP="00BF6DBE">
            <w:pPr>
              <w:shd w:val="clear" w:color="auto" w:fill="FFFFFF" w:themeFill="background1"/>
              <w:spacing w:after="0" w:line="240" w:lineRule="auto"/>
              <w:jc w:val="center"/>
            </w:pPr>
            <w:r>
              <w:t xml:space="preserve"> </w:t>
            </w:r>
          </w:p>
        </w:tc>
        <w:tc>
          <w:tcPr>
            <w:tcW w:w="599" w:type="dxa"/>
            <w:vMerge/>
            <w:shd w:val="clear" w:color="auto" w:fill="auto"/>
          </w:tcPr>
          <w:p w14:paraId="53BA7546" w14:textId="77777777" w:rsidR="002130EE" w:rsidRPr="00B82A62" w:rsidRDefault="002130EE" w:rsidP="00BF6DBE">
            <w:pPr>
              <w:shd w:val="clear" w:color="auto" w:fill="FFFFFF" w:themeFill="background1"/>
              <w:spacing w:after="0" w:line="240" w:lineRule="auto"/>
              <w:jc w:val="center"/>
            </w:pPr>
          </w:p>
        </w:tc>
      </w:tr>
      <w:tr w:rsidR="00B82A62" w:rsidRPr="00B82A62" w14:paraId="53BA7551" w14:textId="77777777" w:rsidTr="006E6C75">
        <w:trPr>
          <w:trHeight w:val="499"/>
        </w:trPr>
        <w:tc>
          <w:tcPr>
            <w:tcW w:w="2303" w:type="dxa"/>
            <w:vMerge w:val="restart"/>
            <w:shd w:val="clear" w:color="auto" w:fill="auto"/>
            <w:vAlign w:val="center"/>
          </w:tcPr>
          <w:p w14:paraId="53BA754D" w14:textId="3476C17F" w:rsidR="002130EE" w:rsidRPr="00B82A62" w:rsidRDefault="00B16FF4" w:rsidP="00BF6DBE">
            <w:pPr>
              <w:shd w:val="clear" w:color="auto" w:fill="FFFFFF" w:themeFill="background1"/>
              <w:spacing w:after="0" w:line="240" w:lineRule="auto"/>
              <w:jc w:val="center"/>
              <w:rPr>
                <w:b/>
              </w:rPr>
            </w:pPr>
            <w:r>
              <w:rPr>
                <w:b/>
              </w:rPr>
              <w:t xml:space="preserve">Stratégie, gouvernance </w:t>
            </w:r>
          </w:p>
        </w:tc>
        <w:tc>
          <w:tcPr>
            <w:tcW w:w="5602" w:type="dxa"/>
            <w:shd w:val="clear" w:color="auto" w:fill="auto"/>
          </w:tcPr>
          <w:p w14:paraId="53BA754E" w14:textId="4F57643A" w:rsidR="002130EE" w:rsidRPr="00B82A62" w:rsidRDefault="004C3A8B" w:rsidP="00BF6DBE">
            <w:pPr>
              <w:shd w:val="clear" w:color="auto" w:fill="FFFFFF" w:themeFill="background1"/>
              <w:spacing w:after="0" w:line="240" w:lineRule="auto"/>
              <w:jc w:val="both"/>
            </w:pPr>
            <w:r>
              <w:t xml:space="preserve">Connaissance du territoire et du champ de la protection de l’Enfance </w:t>
            </w:r>
          </w:p>
        </w:tc>
        <w:tc>
          <w:tcPr>
            <w:tcW w:w="708" w:type="dxa"/>
            <w:shd w:val="clear" w:color="auto" w:fill="auto"/>
            <w:vAlign w:val="center"/>
          </w:tcPr>
          <w:p w14:paraId="53BA754F" w14:textId="77777777" w:rsidR="002130EE" w:rsidRPr="00B82A62" w:rsidRDefault="002130EE" w:rsidP="00BF6DBE">
            <w:pPr>
              <w:shd w:val="clear" w:color="auto" w:fill="FFFFFF" w:themeFill="background1"/>
              <w:spacing w:after="0" w:line="240" w:lineRule="auto"/>
              <w:jc w:val="center"/>
            </w:pPr>
            <w:r w:rsidRPr="00B82A62">
              <w:t>10</w:t>
            </w:r>
          </w:p>
        </w:tc>
        <w:tc>
          <w:tcPr>
            <w:tcW w:w="599" w:type="dxa"/>
            <w:vMerge w:val="restart"/>
            <w:shd w:val="clear" w:color="auto" w:fill="auto"/>
            <w:vAlign w:val="center"/>
          </w:tcPr>
          <w:p w14:paraId="53BA7550" w14:textId="4DF016CB" w:rsidR="002130EE" w:rsidRPr="00B82A62" w:rsidRDefault="004C3A8B" w:rsidP="00BF6DBE">
            <w:pPr>
              <w:shd w:val="clear" w:color="auto" w:fill="FFFFFF" w:themeFill="background1"/>
              <w:spacing w:after="0" w:line="240" w:lineRule="auto"/>
              <w:jc w:val="center"/>
              <w:rPr>
                <w:b/>
              </w:rPr>
            </w:pPr>
            <w:r>
              <w:rPr>
                <w:b/>
              </w:rPr>
              <w:t>20</w:t>
            </w:r>
          </w:p>
        </w:tc>
      </w:tr>
      <w:tr w:rsidR="00B82A62" w:rsidRPr="00B82A62" w14:paraId="53BA7560" w14:textId="77777777" w:rsidTr="006E6C75">
        <w:tc>
          <w:tcPr>
            <w:tcW w:w="2303" w:type="dxa"/>
            <w:vMerge/>
            <w:shd w:val="clear" w:color="auto" w:fill="auto"/>
          </w:tcPr>
          <w:p w14:paraId="53BA755C" w14:textId="77777777" w:rsidR="002130EE" w:rsidRPr="00B82A62" w:rsidRDefault="002130EE" w:rsidP="00BF6DBE">
            <w:pPr>
              <w:shd w:val="clear" w:color="auto" w:fill="FFFFFF" w:themeFill="background1"/>
              <w:spacing w:after="0" w:line="240" w:lineRule="auto"/>
              <w:jc w:val="center"/>
            </w:pPr>
          </w:p>
        </w:tc>
        <w:tc>
          <w:tcPr>
            <w:tcW w:w="5602" w:type="dxa"/>
            <w:shd w:val="clear" w:color="auto" w:fill="auto"/>
          </w:tcPr>
          <w:p w14:paraId="53BA755D" w14:textId="77777777" w:rsidR="002130EE" w:rsidRPr="00B82A62" w:rsidRDefault="002130EE" w:rsidP="00BF6DBE">
            <w:pPr>
              <w:shd w:val="clear" w:color="auto" w:fill="FFFFFF" w:themeFill="background1"/>
              <w:spacing w:after="0" w:line="240" w:lineRule="auto"/>
              <w:jc w:val="both"/>
            </w:pPr>
            <w:r w:rsidRPr="00B82A62">
              <w:t>Garanties du droit des usagers au regard no</w:t>
            </w:r>
            <w:r w:rsidR="004925F7" w:rsidRPr="00B82A62">
              <w:t xml:space="preserve">tamment du droit des étrangers </w:t>
            </w:r>
            <w:r w:rsidRPr="00B82A62">
              <w:t>et modalités de mises en place des outils de la loi de 2002-2</w:t>
            </w:r>
          </w:p>
        </w:tc>
        <w:tc>
          <w:tcPr>
            <w:tcW w:w="708" w:type="dxa"/>
            <w:shd w:val="clear" w:color="auto" w:fill="auto"/>
            <w:vAlign w:val="center"/>
          </w:tcPr>
          <w:p w14:paraId="53BA755E" w14:textId="77777777" w:rsidR="002130EE" w:rsidRPr="00B82A62" w:rsidRDefault="002130EE" w:rsidP="00BF6DBE">
            <w:pPr>
              <w:shd w:val="clear" w:color="auto" w:fill="FFFFFF" w:themeFill="background1"/>
              <w:spacing w:after="0" w:line="240" w:lineRule="auto"/>
              <w:jc w:val="center"/>
            </w:pPr>
            <w:r w:rsidRPr="00B82A62">
              <w:t>10</w:t>
            </w:r>
          </w:p>
        </w:tc>
        <w:tc>
          <w:tcPr>
            <w:tcW w:w="599" w:type="dxa"/>
            <w:vMerge/>
            <w:shd w:val="clear" w:color="auto" w:fill="auto"/>
          </w:tcPr>
          <w:p w14:paraId="53BA755F" w14:textId="77777777" w:rsidR="002130EE" w:rsidRPr="00B82A62" w:rsidRDefault="002130EE" w:rsidP="00BF6DBE">
            <w:pPr>
              <w:shd w:val="clear" w:color="auto" w:fill="FFFFFF" w:themeFill="background1"/>
              <w:spacing w:after="0" w:line="240" w:lineRule="auto"/>
              <w:jc w:val="center"/>
            </w:pPr>
          </w:p>
        </w:tc>
      </w:tr>
      <w:tr w:rsidR="00B82A62" w:rsidRPr="00B82A62" w14:paraId="53BA7565" w14:textId="77777777" w:rsidTr="006E6C75">
        <w:tc>
          <w:tcPr>
            <w:tcW w:w="2303" w:type="dxa"/>
            <w:vMerge w:val="restart"/>
            <w:shd w:val="clear" w:color="auto" w:fill="auto"/>
            <w:vAlign w:val="center"/>
          </w:tcPr>
          <w:p w14:paraId="53BA7561" w14:textId="77777777" w:rsidR="002130EE" w:rsidRPr="00B82A62" w:rsidRDefault="002130EE" w:rsidP="00BF6DBE">
            <w:pPr>
              <w:shd w:val="clear" w:color="auto" w:fill="FFFFFF" w:themeFill="background1"/>
              <w:spacing w:after="0" w:line="240" w:lineRule="auto"/>
              <w:jc w:val="center"/>
            </w:pPr>
            <w:r w:rsidRPr="00B82A62">
              <w:rPr>
                <w:b/>
              </w:rPr>
              <w:t>Moyens humains, matériels et financiers.</w:t>
            </w:r>
          </w:p>
        </w:tc>
        <w:tc>
          <w:tcPr>
            <w:tcW w:w="5602" w:type="dxa"/>
            <w:shd w:val="clear" w:color="auto" w:fill="auto"/>
          </w:tcPr>
          <w:p w14:paraId="56B2A4C2" w14:textId="1D7727E1" w:rsidR="004C3A8B" w:rsidRDefault="002130EE" w:rsidP="004C3A8B">
            <w:pPr>
              <w:shd w:val="clear" w:color="auto" w:fill="FFFFFF" w:themeFill="background1"/>
              <w:spacing w:after="0" w:line="240" w:lineRule="auto"/>
              <w:jc w:val="both"/>
            </w:pPr>
            <w:r w:rsidRPr="00B82A62">
              <w:t xml:space="preserve">Ressources humaines : </w:t>
            </w:r>
            <w:r w:rsidR="004C3A8B">
              <w:t xml:space="preserve">Organigramme, fiche de poste, modalités de fonctionnement, </w:t>
            </w:r>
            <w:r w:rsidR="004C3A8B" w:rsidRPr="00B82A62">
              <w:t>encadrement et supervision des équipes</w:t>
            </w:r>
            <w:r w:rsidR="004C3A8B">
              <w:t>.</w:t>
            </w:r>
          </w:p>
          <w:p w14:paraId="53BA7562" w14:textId="6A990E79" w:rsidR="002130EE" w:rsidRPr="00B82A62" w:rsidRDefault="004C3A8B" w:rsidP="004C3A8B">
            <w:pPr>
              <w:shd w:val="clear" w:color="auto" w:fill="FFFFFF" w:themeFill="background1"/>
              <w:spacing w:after="0" w:line="240" w:lineRule="auto"/>
              <w:jc w:val="both"/>
            </w:pPr>
            <w:r>
              <w:t>A</w:t>
            </w:r>
            <w:r w:rsidR="002130EE" w:rsidRPr="00B82A62">
              <w:t>déquation des compétences avec le projet global et les conditions de l’appel à projet</w:t>
            </w:r>
            <w:r w:rsidR="00C60722" w:rsidRPr="00B82A62">
              <w:t>s</w:t>
            </w:r>
            <w:r w:rsidR="002130EE" w:rsidRPr="00B82A62">
              <w:t xml:space="preserve">, plan de formation continue, </w:t>
            </w:r>
          </w:p>
        </w:tc>
        <w:tc>
          <w:tcPr>
            <w:tcW w:w="708" w:type="dxa"/>
            <w:shd w:val="clear" w:color="auto" w:fill="auto"/>
            <w:vAlign w:val="center"/>
          </w:tcPr>
          <w:p w14:paraId="53BA7563" w14:textId="3C2D2F03" w:rsidR="002130EE" w:rsidRPr="00B82A62" w:rsidRDefault="00D6071D" w:rsidP="00BF6DBE">
            <w:pPr>
              <w:shd w:val="clear" w:color="auto" w:fill="FFFFFF" w:themeFill="background1"/>
              <w:spacing w:after="0" w:line="240" w:lineRule="auto"/>
              <w:jc w:val="center"/>
            </w:pPr>
            <w:r>
              <w:t>2</w:t>
            </w:r>
            <w:r w:rsidR="002130EE" w:rsidRPr="00B82A62">
              <w:t>0</w:t>
            </w:r>
          </w:p>
        </w:tc>
        <w:tc>
          <w:tcPr>
            <w:tcW w:w="599" w:type="dxa"/>
            <w:vMerge w:val="restart"/>
            <w:shd w:val="clear" w:color="auto" w:fill="auto"/>
            <w:vAlign w:val="center"/>
          </w:tcPr>
          <w:p w14:paraId="53BA7564" w14:textId="77777777" w:rsidR="002130EE" w:rsidRPr="00B82A62" w:rsidRDefault="002130EE" w:rsidP="00BF6DBE">
            <w:pPr>
              <w:shd w:val="clear" w:color="auto" w:fill="FFFFFF" w:themeFill="background1"/>
              <w:spacing w:after="0" w:line="240" w:lineRule="auto"/>
              <w:jc w:val="center"/>
              <w:rPr>
                <w:b/>
              </w:rPr>
            </w:pPr>
            <w:r w:rsidRPr="00B82A62">
              <w:rPr>
                <w:b/>
              </w:rPr>
              <w:t>40</w:t>
            </w:r>
          </w:p>
        </w:tc>
      </w:tr>
      <w:tr w:rsidR="00B82A62" w:rsidRPr="00B82A62" w14:paraId="53BA756F" w14:textId="77777777" w:rsidTr="006E6C75">
        <w:tc>
          <w:tcPr>
            <w:tcW w:w="2303" w:type="dxa"/>
            <w:vMerge/>
            <w:shd w:val="clear" w:color="auto" w:fill="auto"/>
          </w:tcPr>
          <w:p w14:paraId="53BA756B" w14:textId="77777777" w:rsidR="002130EE" w:rsidRPr="00B82A62" w:rsidRDefault="002130EE" w:rsidP="00BF6DBE">
            <w:pPr>
              <w:shd w:val="clear" w:color="auto" w:fill="FFFFFF" w:themeFill="background1"/>
              <w:spacing w:after="0" w:line="240" w:lineRule="auto"/>
              <w:jc w:val="center"/>
            </w:pPr>
          </w:p>
        </w:tc>
        <w:tc>
          <w:tcPr>
            <w:tcW w:w="5602" w:type="dxa"/>
            <w:shd w:val="clear" w:color="auto" w:fill="auto"/>
          </w:tcPr>
          <w:p w14:paraId="53BA756C" w14:textId="77777777" w:rsidR="002130EE" w:rsidRPr="00B82A62" w:rsidRDefault="002130EE" w:rsidP="00BF6DBE">
            <w:pPr>
              <w:shd w:val="clear" w:color="auto" w:fill="FFFFFF" w:themeFill="background1"/>
              <w:spacing w:after="0" w:line="240" w:lineRule="auto"/>
              <w:jc w:val="both"/>
            </w:pPr>
            <w:r w:rsidRPr="00B82A62">
              <w:t xml:space="preserve">Coût et faisabilité du projet </w:t>
            </w:r>
          </w:p>
        </w:tc>
        <w:tc>
          <w:tcPr>
            <w:tcW w:w="708" w:type="dxa"/>
            <w:shd w:val="clear" w:color="auto" w:fill="auto"/>
          </w:tcPr>
          <w:p w14:paraId="53BA756D" w14:textId="77777777" w:rsidR="002130EE" w:rsidRPr="00B82A62" w:rsidRDefault="002130EE" w:rsidP="00BF6DBE">
            <w:pPr>
              <w:shd w:val="clear" w:color="auto" w:fill="FFFFFF" w:themeFill="background1"/>
              <w:spacing w:after="0" w:line="240" w:lineRule="auto"/>
              <w:jc w:val="center"/>
            </w:pPr>
            <w:r w:rsidRPr="00B82A62">
              <w:t>20</w:t>
            </w:r>
          </w:p>
        </w:tc>
        <w:tc>
          <w:tcPr>
            <w:tcW w:w="599" w:type="dxa"/>
            <w:vMerge/>
            <w:shd w:val="clear" w:color="auto" w:fill="auto"/>
          </w:tcPr>
          <w:p w14:paraId="53BA756E" w14:textId="77777777" w:rsidR="002130EE" w:rsidRPr="00B82A62" w:rsidRDefault="002130EE" w:rsidP="00BF6DBE">
            <w:pPr>
              <w:shd w:val="clear" w:color="auto" w:fill="FFFFFF" w:themeFill="background1"/>
              <w:spacing w:after="0" w:line="240" w:lineRule="auto"/>
              <w:jc w:val="center"/>
            </w:pPr>
          </w:p>
        </w:tc>
      </w:tr>
      <w:tr w:rsidR="007E1E6E" w:rsidRPr="00B82A62" w14:paraId="2F326EDE" w14:textId="77777777" w:rsidTr="006E6C75">
        <w:tc>
          <w:tcPr>
            <w:tcW w:w="2303" w:type="dxa"/>
            <w:shd w:val="clear" w:color="auto" w:fill="auto"/>
          </w:tcPr>
          <w:p w14:paraId="10DE5351" w14:textId="77777777" w:rsidR="007E1E6E" w:rsidRPr="00B82A62" w:rsidRDefault="007E1E6E" w:rsidP="00BF6DBE">
            <w:pPr>
              <w:shd w:val="clear" w:color="auto" w:fill="FFFFFF" w:themeFill="background1"/>
              <w:spacing w:after="0" w:line="240" w:lineRule="auto"/>
              <w:jc w:val="center"/>
            </w:pPr>
          </w:p>
        </w:tc>
        <w:tc>
          <w:tcPr>
            <w:tcW w:w="5602" w:type="dxa"/>
            <w:shd w:val="clear" w:color="auto" w:fill="auto"/>
          </w:tcPr>
          <w:p w14:paraId="3C2F0000" w14:textId="77777777" w:rsidR="007E1E6E" w:rsidRPr="00B82A62" w:rsidRDefault="007E1E6E" w:rsidP="00BF6DBE">
            <w:pPr>
              <w:shd w:val="clear" w:color="auto" w:fill="FFFFFF" w:themeFill="background1"/>
              <w:spacing w:after="0" w:line="240" w:lineRule="auto"/>
              <w:jc w:val="both"/>
            </w:pPr>
          </w:p>
        </w:tc>
        <w:tc>
          <w:tcPr>
            <w:tcW w:w="708" w:type="dxa"/>
            <w:shd w:val="clear" w:color="auto" w:fill="auto"/>
          </w:tcPr>
          <w:p w14:paraId="721FD4F7" w14:textId="77777777" w:rsidR="007E1E6E" w:rsidRPr="00B82A62" w:rsidRDefault="007E1E6E" w:rsidP="00BF6DBE">
            <w:pPr>
              <w:shd w:val="clear" w:color="auto" w:fill="FFFFFF" w:themeFill="background1"/>
              <w:spacing w:after="0" w:line="240" w:lineRule="auto"/>
              <w:jc w:val="center"/>
              <w:rPr>
                <w:b/>
              </w:rPr>
            </w:pPr>
          </w:p>
        </w:tc>
        <w:tc>
          <w:tcPr>
            <w:tcW w:w="599" w:type="dxa"/>
            <w:shd w:val="clear" w:color="auto" w:fill="auto"/>
          </w:tcPr>
          <w:p w14:paraId="4A3A072F" w14:textId="77777777" w:rsidR="007E1E6E" w:rsidRPr="00B82A62" w:rsidRDefault="007E1E6E" w:rsidP="00BF6DBE">
            <w:pPr>
              <w:shd w:val="clear" w:color="auto" w:fill="FFFFFF" w:themeFill="background1"/>
              <w:spacing w:after="0" w:line="240" w:lineRule="auto"/>
              <w:jc w:val="center"/>
              <w:rPr>
                <w:b/>
              </w:rPr>
            </w:pPr>
          </w:p>
        </w:tc>
      </w:tr>
      <w:tr w:rsidR="002130EE" w:rsidRPr="00B82A62" w14:paraId="53BA7574" w14:textId="77777777" w:rsidTr="006E6C75">
        <w:tc>
          <w:tcPr>
            <w:tcW w:w="2303" w:type="dxa"/>
            <w:shd w:val="clear" w:color="auto" w:fill="auto"/>
          </w:tcPr>
          <w:p w14:paraId="53BA7570" w14:textId="77777777" w:rsidR="002130EE" w:rsidRPr="00B82A62" w:rsidRDefault="002130EE" w:rsidP="00BF6DBE">
            <w:pPr>
              <w:shd w:val="clear" w:color="auto" w:fill="FFFFFF" w:themeFill="background1"/>
              <w:spacing w:after="0" w:line="240" w:lineRule="auto"/>
              <w:jc w:val="center"/>
            </w:pPr>
          </w:p>
        </w:tc>
        <w:tc>
          <w:tcPr>
            <w:tcW w:w="5602" w:type="dxa"/>
            <w:shd w:val="clear" w:color="auto" w:fill="auto"/>
          </w:tcPr>
          <w:p w14:paraId="53BA7571" w14:textId="77777777" w:rsidR="002130EE" w:rsidRPr="00B82A62" w:rsidRDefault="002130EE" w:rsidP="00BF6DBE">
            <w:pPr>
              <w:shd w:val="clear" w:color="auto" w:fill="FFFFFF" w:themeFill="background1"/>
              <w:spacing w:after="0" w:line="240" w:lineRule="auto"/>
              <w:jc w:val="both"/>
            </w:pPr>
          </w:p>
        </w:tc>
        <w:tc>
          <w:tcPr>
            <w:tcW w:w="708" w:type="dxa"/>
            <w:shd w:val="clear" w:color="auto" w:fill="auto"/>
          </w:tcPr>
          <w:p w14:paraId="53BA7572" w14:textId="77777777" w:rsidR="002130EE" w:rsidRPr="00B82A62" w:rsidRDefault="002130EE" w:rsidP="00BF6DBE">
            <w:pPr>
              <w:shd w:val="clear" w:color="auto" w:fill="FFFFFF" w:themeFill="background1"/>
              <w:spacing w:after="0" w:line="240" w:lineRule="auto"/>
              <w:jc w:val="center"/>
              <w:rPr>
                <w:b/>
              </w:rPr>
            </w:pPr>
            <w:r w:rsidRPr="00B82A62">
              <w:rPr>
                <w:b/>
              </w:rPr>
              <w:t>100</w:t>
            </w:r>
          </w:p>
        </w:tc>
        <w:tc>
          <w:tcPr>
            <w:tcW w:w="599" w:type="dxa"/>
            <w:shd w:val="clear" w:color="auto" w:fill="auto"/>
          </w:tcPr>
          <w:p w14:paraId="53BA7573" w14:textId="77777777" w:rsidR="002130EE" w:rsidRPr="00B82A62" w:rsidRDefault="002130EE" w:rsidP="00BF6DBE">
            <w:pPr>
              <w:shd w:val="clear" w:color="auto" w:fill="FFFFFF" w:themeFill="background1"/>
              <w:spacing w:after="0" w:line="240" w:lineRule="auto"/>
              <w:jc w:val="center"/>
              <w:rPr>
                <w:b/>
              </w:rPr>
            </w:pPr>
            <w:r w:rsidRPr="00B82A62">
              <w:rPr>
                <w:b/>
              </w:rPr>
              <w:t>100</w:t>
            </w:r>
          </w:p>
        </w:tc>
      </w:tr>
    </w:tbl>
    <w:p w14:paraId="53BA7575" w14:textId="77777777" w:rsidR="002130EE" w:rsidRPr="00B82A62" w:rsidRDefault="002130EE" w:rsidP="00BF6DBE">
      <w:pPr>
        <w:shd w:val="clear" w:color="auto" w:fill="FFFFFF" w:themeFill="background1"/>
        <w:spacing w:after="0" w:line="240" w:lineRule="auto"/>
        <w:jc w:val="both"/>
        <w:textAlignment w:val="baseline"/>
      </w:pPr>
    </w:p>
    <w:sectPr w:rsidR="002130EE" w:rsidRPr="00B82A62" w:rsidSect="002C6851">
      <w:footerReference w:type="default" r:id="rId13"/>
      <w:pgSz w:w="11906" w:h="16838" w:code="9"/>
      <w:pgMar w:top="1134" w:right="1134"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BF45" w14:textId="77777777" w:rsidR="00706FC0" w:rsidRDefault="00706FC0" w:rsidP="004563C5">
      <w:pPr>
        <w:spacing w:after="0" w:line="240" w:lineRule="auto"/>
      </w:pPr>
      <w:r>
        <w:separator/>
      </w:r>
    </w:p>
  </w:endnote>
  <w:endnote w:type="continuationSeparator" w:id="0">
    <w:p w14:paraId="516E89FF" w14:textId="77777777" w:rsidR="00706FC0" w:rsidRDefault="00706FC0" w:rsidP="0045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588090"/>
      <w:docPartObj>
        <w:docPartGallery w:val="Page Numbers (Bottom of Page)"/>
        <w:docPartUnique/>
      </w:docPartObj>
    </w:sdtPr>
    <w:sdtEndPr/>
    <w:sdtContent>
      <w:p w14:paraId="53BA757A" w14:textId="161B6BF7" w:rsidR="004925F7" w:rsidRPr="004925F7" w:rsidRDefault="004925F7" w:rsidP="004925F7">
        <w:pPr>
          <w:pStyle w:val="Pieddepage"/>
          <w:jc w:val="right"/>
          <w:rPr>
            <w:sz w:val="16"/>
            <w:szCs w:val="16"/>
          </w:rPr>
        </w:pPr>
        <w:r w:rsidRPr="004925F7">
          <w:rPr>
            <w:sz w:val="16"/>
            <w:szCs w:val="16"/>
          </w:rPr>
          <w:t xml:space="preserve">- </w:t>
        </w:r>
        <w:r w:rsidRPr="004925F7">
          <w:rPr>
            <w:sz w:val="16"/>
            <w:szCs w:val="16"/>
          </w:rPr>
          <w:fldChar w:fldCharType="begin"/>
        </w:r>
        <w:r w:rsidRPr="004925F7">
          <w:rPr>
            <w:sz w:val="16"/>
            <w:szCs w:val="16"/>
          </w:rPr>
          <w:instrText>PAGE   \* MERGEFORMAT</w:instrText>
        </w:r>
        <w:r w:rsidRPr="004925F7">
          <w:rPr>
            <w:sz w:val="16"/>
            <w:szCs w:val="16"/>
          </w:rPr>
          <w:fldChar w:fldCharType="separate"/>
        </w:r>
        <w:r w:rsidR="003A2F20">
          <w:rPr>
            <w:noProof/>
            <w:sz w:val="16"/>
            <w:szCs w:val="16"/>
          </w:rPr>
          <w:t>4</w:t>
        </w:r>
        <w:r w:rsidRPr="004925F7">
          <w:rPr>
            <w:sz w:val="16"/>
            <w:szCs w:val="16"/>
          </w:rPr>
          <w:fldChar w:fldCharType="end"/>
        </w:r>
        <w:r w:rsidRPr="004925F7">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5BB7" w14:textId="77777777" w:rsidR="00706FC0" w:rsidRDefault="00706FC0" w:rsidP="004563C5">
      <w:pPr>
        <w:spacing w:after="0" w:line="240" w:lineRule="auto"/>
      </w:pPr>
      <w:r>
        <w:separator/>
      </w:r>
    </w:p>
  </w:footnote>
  <w:footnote w:type="continuationSeparator" w:id="0">
    <w:p w14:paraId="78A8CDE7" w14:textId="77777777" w:rsidR="00706FC0" w:rsidRDefault="00706FC0" w:rsidP="0045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826"/>
    <w:multiLevelType w:val="hybridMultilevel"/>
    <w:tmpl w:val="82E894DE"/>
    <w:lvl w:ilvl="0" w:tplc="FBBE5C3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002A68"/>
    <w:multiLevelType w:val="hybridMultilevel"/>
    <w:tmpl w:val="41748F3A"/>
    <w:lvl w:ilvl="0" w:tplc="09B4B9E0">
      <w:start w:val="1"/>
      <w:numFmt w:val="bullet"/>
      <w:lvlText w:val="•"/>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2C4D2">
      <w:start w:val="1"/>
      <w:numFmt w:val="bullet"/>
      <w:lvlText w:val="o"/>
      <w:lvlJc w:val="left"/>
      <w:pPr>
        <w:ind w:left="1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6C0B6">
      <w:start w:val="1"/>
      <w:numFmt w:val="bullet"/>
      <w:lvlText w:val="▪"/>
      <w:lvlJc w:val="left"/>
      <w:pPr>
        <w:ind w:left="2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AD3E6">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A31FC">
      <w:start w:val="1"/>
      <w:numFmt w:val="bullet"/>
      <w:lvlText w:val="o"/>
      <w:lvlJc w:val="left"/>
      <w:pPr>
        <w:ind w:left="3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30E910">
      <w:start w:val="1"/>
      <w:numFmt w:val="bullet"/>
      <w:lvlText w:val="▪"/>
      <w:lvlJc w:val="left"/>
      <w:pPr>
        <w:ind w:left="4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663D2A">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EB22C">
      <w:start w:val="1"/>
      <w:numFmt w:val="bullet"/>
      <w:lvlText w:val="o"/>
      <w:lvlJc w:val="left"/>
      <w:pPr>
        <w:ind w:left="5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D2CB82">
      <w:start w:val="1"/>
      <w:numFmt w:val="bullet"/>
      <w:lvlText w:val="▪"/>
      <w:lvlJc w:val="left"/>
      <w:pPr>
        <w:ind w:left="6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2E7221"/>
    <w:multiLevelType w:val="hybridMultilevel"/>
    <w:tmpl w:val="D91C8F7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829DA"/>
    <w:multiLevelType w:val="hybridMultilevel"/>
    <w:tmpl w:val="68668E8A"/>
    <w:lvl w:ilvl="0" w:tplc="040C0015">
      <w:start w:val="1"/>
      <w:numFmt w:val="upp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0824C54"/>
    <w:multiLevelType w:val="multilevel"/>
    <w:tmpl w:val="D81C3F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040B8"/>
    <w:multiLevelType w:val="hybridMultilevel"/>
    <w:tmpl w:val="126650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C743697"/>
    <w:multiLevelType w:val="hybridMultilevel"/>
    <w:tmpl w:val="DC48418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598222AA"/>
    <w:multiLevelType w:val="multilevel"/>
    <w:tmpl w:val="84B44D8A"/>
    <w:lvl w:ilvl="0">
      <w:start w:val="1"/>
      <w:numFmt w:val="decimal"/>
      <w:lvlText w:val="%1."/>
      <w:lvlJc w:val="left"/>
      <w:pPr>
        <w:ind w:left="644" w:hanging="360"/>
      </w:pPr>
      <w:rPr>
        <w:rFonts w:hint="default"/>
      </w:rPr>
    </w:lvl>
    <w:lvl w:ilvl="1">
      <w:start w:val="2"/>
      <w:numFmt w:val="decimal"/>
      <w:isLgl/>
      <w:lvlText w:val="%1.%2"/>
      <w:lvlJc w:val="left"/>
      <w:pPr>
        <w:ind w:left="1052" w:hanging="408"/>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15:restartNumberingAfterBreak="0">
    <w:nsid w:val="5A233F25"/>
    <w:multiLevelType w:val="hybridMultilevel"/>
    <w:tmpl w:val="9CF862FC"/>
    <w:lvl w:ilvl="0" w:tplc="C9508CC4">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CB3CD0"/>
    <w:multiLevelType w:val="hybridMultilevel"/>
    <w:tmpl w:val="4FBE8B90"/>
    <w:lvl w:ilvl="0" w:tplc="9B0C9C0C">
      <w:start w:val="1"/>
      <w:numFmt w:val="bullet"/>
      <w:lvlText w:val="•"/>
      <w:lvlJc w:val="left"/>
      <w:pPr>
        <w:ind w:left="1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E7C5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A348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9EDEB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FCED0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4BB2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00F93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A02B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1C392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125FF0"/>
    <w:multiLevelType w:val="hybridMultilevel"/>
    <w:tmpl w:val="40CC5F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3F1A18"/>
    <w:multiLevelType w:val="hybridMultilevel"/>
    <w:tmpl w:val="D5689344"/>
    <w:lvl w:ilvl="0" w:tplc="3C34E6BE">
      <w:start w:val="1"/>
      <w:numFmt w:val="bullet"/>
      <w:lvlText w:val="-"/>
      <w:lvlJc w:val="left"/>
      <w:pPr>
        <w:ind w:left="1080" w:hanging="360"/>
      </w:pPr>
      <w:rPr>
        <w:rFonts w:asciiTheme="minorHAnsi" w:hAnsiTheme="minorHAns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5E851DA"/>
    <w:multiLevelType w:val="hybridMultilevel"/>
    <w:tmpl w:val="B4A6DE0A"/>
    <w:lvl w:ilvl="0" w:tplc="68F2787E">
      <w:numFmt w:val="bullet"/>
      <w:lvlText w:val="-"/>
      <w:lvlJc w:val="left"/>
      <w:pPr>
        <w:ind w:left="1287" w:hanging="360"/>
      </w:pPr>
      <w:rPr>
        <w:rFonts w:ascii="Tahoma" w:eastAsia="Times New Roman" w:hAnsi="Tahoma" w:cs="Tahoma" w:hint="default"/>
        <w:sz w:val="20"/>
      </w:rPr>
    </w:lvl>
    <w:lvl w:ilvl="1" w:tplc="BDBC8188">
      <w:numFmt w:val="bullet"/>
      <w:lvlText w:val=""/>
      <w:lvlJc w:val="left"/>
      <w:pPr>
        <w:ind w:left="2007" w:hanging="360"/>
      </w:pPr>
      <w:rPr>
        <w:rFonts w:ascii="Symbol" w:eastAsia="Times New Roman" w:hAnsi="Symbol" w:cs="Courier New" w:hint="default"/>
        <w:sz w:val="20"/>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FD03B24"/>
    <w:multiLevelType w:val="hybridMultilevel"/>
    <w:tmpl w:val="072A375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EE4AB1"/>
    <w:multiLevelType w:val="hybridMultilevel"/>
    <w:tmpl w:val="AC027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10"/>
  </w:num>
  <w:num w:numId="6">
    <w:abstractNumId w:val="3"/>
  </w:num>
  <w:num w:numId="7">
    <w:abstractNumId w:val="2"/>
  </w:num>
  <w:num w:numId="8">
    <w:abstractNumId w:val="5"/>
  </w:num>
  <w:num w:numId="9">
    <w:abstractNumId w:val="13"/>
  </w:num>
  <w:num w:numId="10">
    <w:abstractNumId w:val="0"/>
  </w:num>
  <w:num w:numId="11">
    <w:abstractNumId w:val="7"/>
  </w:num>
  <w:num w:numId="12">
    <w:abstractNumId w:val="6"/>
  </w:num>
  <w:num w:numId="13">
    <w:abstractNumId w:val="14"/>
  </w:num>
  <w:num w:numId="14">
    <w:abstractNumId w:val="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F6"/>
    <w:rsid w:val="00005DB3"/>
    <w:rsid w:val="000104AD"/>
    <w:rsid w:val="00020D14"/>
    <w:rsid w:val="00025A83"/>
    <w:rsid w:val="00034B81"/>
    <w:rsid w:val="000505BF"/>
    <w:rsid w:val="00053043"/>
    <w:rsid w:val="00065170"/>
    <w:rsid w:val="000A7405"/>
    <w:rsid w:val="000E100D"/>
    <w:rsid w:val="000F4188"/>
    <w:rsid w:val="00107A74"/>
    <w:rsid w:val="00112FC2"/>
    <w:rsid w:val="00121608"/>
    <w:rsid w:val="00122404"/>
    <w:rsid w:val="001616DD"/>
    <w:rsid w:val="00165D69"/>
    <w:rsid w:val="00171E28"/>
    <w:rsid w:val="00175D0B"/>
    <w:rsid w:val="00183DAD"/>
    <w:rsid w:val="00186188"/>
    <w:rsid w:val="00190332"/>
    <w:rsid w:val="00193884"/>
    <w:rsid w:val="001D4F08"/>
    <w:rsid w:val="002026A7"/>
    <w:rsid w:val="002036F4"/>
    <w:rsid w:val="00206731"/>
    <w:rsid w:val="002130EE"/>
    <w:rsid w:val="002133E2"/>
    <w:rsid w:val="00250759"/>
    <w:rsid w:val="00281086"/>
    <w:rsid w:val="00290FDF"/>
    <w:rsid w:val="002A72D6"/>
    <w:rsid w:val="002A7C0E"/>
    <w:rsid w:val="002C6851"/>
    <w:rsid w:val="002D7131"/>
    <w:rsid w:val="002E0C45"/>
    <w:rsid w:val="002E26A4"/>
    <w:rsid w:val="002E5282"/>
    <w:rsid w:val="002F4DD2"/>
    <w:rsid w:val="0033127F"/>
    <w:rsid w:val="0033366C"/>
    <w:rsid w:val="00337378"/>
    <w:rsid w:val="00344CCE"/>
    <w:rsid w:val="00361569"/>
    <w:rsid w:val="003647CC"/>
    <w:rsid w:val="00385836"/>
    <w:rsid w:val="00391F6C"/>
    <w:rsid w:val="003933D8"/>
    <w:rsid w:val="003A2F20"/>
    <w:rsid w:val="003C49AC"/>
    <w:rsid w:val="003E4542"/>
    <w:rsid w:val="00410428"/>
    <w:rsid w:val="00434820"/>
    <w:rsid w:val="00441DD2"/>
    <w:rsid w:val="004563C5"/>
    <w:rsid w:val="00460259"/>
    <w:rsid w:val="004626AB"/>
    <w:rsid w:val="00475EB2"/>
    <w:rsid w:val="00492035"/>
    <w:rsid w:val="004925F7"/>
    <w:rsid w:val="004C3750"/>
    <w:rsid w:val="004C3A8B"/>
    <w:rsid w:val="004D7187"/>
    <w:rsid w:val="004E1028"/>
    <w:rsid w:val="00507593"/>
    <w:rsid w:val="00520B8E"/>
    <w:rsid w:val="0053078B"/>
    <w:rsid w:val="00547765"/>
    <w:rsid w:val="00552749"/>
    <w:rsid w:val="0056450E"/>
    <w:rsid w:val="0058472D"/>
    <w:rsid w:val="00595FDE"/>
    <w:rsid w:val="005B0078"/>
    <w:rsid w:val="005B6516"/>
    <w:rsid w:val="005E5521"/>
    <w:rsid w:val="00600BCD"/>
    <w:rsid w:val="0060519E"/>
    <w:rsid w:val="00611FC2"/>
    <w:rsid w:val="00643269"/>
    <w:rsid w:val="00665A73"/>
    <w:rsid w:val="0068125F"/>
    <w:rsid w:val="0068752B"/>
    <w:rsid w:val="006B2268"/>
    <w:rsid w:val="006B770A"/>
    <w:rsid w:val="006C6AC3"/>
    <w:rsid w:val="006D20A8"/>
    <w:rsid w:val="006E6C75"/>
    <w:rsid w:val="006F1597"/>
    <w:rsid w:val="0070466A"/>
    <w:rsid w:val="00706FC0"/>
    <w:rsid w:val="00707A7C"/>
    <w:rsid w:val="00724B4C"/>
    <w:rsid w:val="007370C1"/>
    <w:rsid w:val="007401F1"/>
    <w:rsid w:val="007761F0"/>
    <w:rsid w:val="00790BC7"/>
    <w:rsid w:val="007A514A"/>
    <w:rsid w:val="007E1E6E"/>
    <w:rsid w:val="007E7059"/>
    <w:rsid w:val="00803DF6"/>
    <w:rsid w:val="00810E74"/>
    <w:rsid w:val="00822D41"/>
    <w:rsid w:val="00830315"/>
    <w:rsid w:val="00836CAF"/>
    <w:rsid w:val="00841783"/>
    <w:rsid w:val="008663BF"/>
    <w:rsid w:val="008F3E71"/>
    <w:rsid w:val="0090636E"/>
    <w:rsid w:val="00955605"/>
    <w:rsid w:val="009735A6"/>
    <w:rsid w:val="009B5B11"/>
    <w:rsid w:val="009D5231"/>
    <w:rsid w:val="009F7BF5"/>
    <w:rsid w:val="00A003E1"/>
    <w:rsid w:val="00A168A4"/>
    <w:rsid w:val="00A24514"/>
    <w:rsid w:val="00A46399"/>
    <w:rsid w:val="00A56FE8"/>
    <w:rsid w:val="00A57245"/>
    <w:rsid w:val="00A62CDC"/>
    <w:rsid w:val="00A667D9"/>
    <w:rsid w:val="00A753E7"/>
    <w:rsid w:val="00A8185F"/>
    <w:rsid w:val="00A83FEB"/>
    <w:rsid w:val="00A90B0F"/>
    <w:rsid w:val="00AA7723"/>
    <w:rsid w:val="00AB1D5F"/>
    <w:rsid w:val="00AB34ED"/>
    <w:rsid w:val="00AC1DC9"/>
    <w:rsid w:val="00AD023A"/>
    <w:rsid w:val="00AE53FE"/>
    <w:rsid w:val="00AF5A0F"/>
    <w:rsid w:val="00B044A2"/>
    <w:rsid w:val="00B06141"/>
    <w:rsid w:val="00B10179"/>
    <w:rsid w:val="00B157B2"/>
    <w:rsid w:val="00B16FF4"/>
    <w:rsid w:val="00B465C1"/>
    <w:rsid w:val="00B65AEC"/>
    <w:rsid w:val="00B82A62"/>
    <w:rsid w:val="00B82E8C"/>
    <w:rsid w:val="00B86532"/>
    <w:rsid w:val="00BA6881"/>
    <w:rsid w:val="00BB1A90"/>
    <w:rsid w:val="00BC74E1"/>
    <w:rsid w:val="00BD73D5"/>
    <w:rsid w:val="00BE1FAA"/>
    <w:rsid w:val="00BF6DBE"/>
    <w:rsid w:val="00C00AD9"/>
    <w:rsid w:val="00C045E4"/>
    <w:rsid w:val="00C1021E"/>
    <w:rsid w:val="00C5790B"/>
    <w:rsid w:val="00C60722"/>
    <w:rsid w:val="00C705BC"/>
    <w:rsid w:val="00C87EBB"/>
    <w:rsid w:val="00CB0606"/>
    <w:rsid w:val="00CB23B2"/>
    <w:rsid w:val="00CC6094"/>
    <w:rsid w:val="00CE24D0"/>
    <w:rsid w:val="00D01929"/>
    <w:rsid w:val="00D128E9"/>
    <w:rsid w:val="00D22C62"/>
    <w:rsid w:val="00D4149E"/>
    <w:rsid w:val="00D52231"/>
    <w:rsid w:val="00D6071D"/>
    <w:rsid w:val="00D6411B"/>
    <w:rsid w:val="00D72929"/>
    <w:rsid w:val="00D779BD"/>
    <w:rsid w:val="00D81B7D"/>
    <w:rsid w:val="00D929F0"/>
    <w:rsid w:val="00D97347"/>
    <w:rsid w:val="00DA59A1"/>
    <w:rsid w:val="00DD6002"/>
    <w:rsid w:val="00E71B42"/>
    <w:rsid w:val="00E71E23"/>
    <w:rsid w:val="00E84E6F"/>
    <w:rsid w:val="00E92FCB"/>
    <w:rsid w:val="00E97786"/>
    <w:rsid w:val="00EB31E5"/>
    <w:rsid w:val="00EB758B"/>
    <w:rsid w:val="00EC2D07"/>
    <w:rsid w:val="00EE21A9"/>
    <w:rsid w:val="00EE5F5B"/>
    <w:rsid w:val="00EE6AFA"/>
    <w:rsid w:val="00EF30DA"/>
    <w:rsid w:val="00F01B51"/>
    <w:rsid w:val="00F07B53"/>
    <w:rsid w:val="00F12665"/>
    <w:rsid w:val="00F147EC"/>
    <w:rsid w:val="00F21B9A"/>
    <w:rsid w:val="00F24F6F"/>
    <w:rsid w:val="00F32AE9"/>
    <w:rsid w:val="00F57267"/>
    <w:rsid w:val="00F7745C"/>
    <w:rsid w:val="00F94C59"/>
    <w:rsid w:val="00FA5688"/>
    <w:rsid w:val="00FB127B"/>
    <w:rsid w:val="00FC3990"/>
    <w:rsid w:val="00FC7918"/>
    <w:rsid w:val="00FD09E6"/>
    <w:rsid w:val="00FD1A6A"/>
    <w:rsid w:val="00FD7F6A"/>
    <w:rsid w:val="00FE2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A749A"/>
  <w15:docId w15:val="{B5BC9D50-2356-4BF7-A2B8-4D4FE4C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DF6"/>
    <w:pPr>
      <w:ind w:left="720"/>
      <w:contextualSpacing/>
    </w:pPr>
  </w:style>
  <w:style w:type="paragraph" w:styleId="Textedebulles">
    <w:name w:val="Balloon Text"/>
    <w:basedOn w:val="Normal"/>
    <w:link w:val="TextedebullesCar"/>
    <w:uiPriority w:val="99"/>
    <w:semiHidden/>
    <w:unhideWhenUsed/>
    <w:rsid w:val="00456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3C5"/>
    <w:rPr>
      <w:rFonts w:ascii="Tahoma" w:hAnsi="Tahoma" w:cs="Tahoma"/>
      <w:sz w:val="16"/>
      <w:szCs w:val="16"/>
    </w:rPr>
  </w:style>
  <w:style w:type="paragraph" w:styleId="En-tte">
    <w:name w:val="header"/>
    <w:basedOn w:val="Normal"/>
    <w:link w:val="En-tteCar"/>
    <w:uiPriority w:val="99"/>
    <w:unhideWhenUsed/>
    <w:rsid w:val="004563C5"/>
    <w:pPr>
      <w:tabs>
        <w:tab w:val="center" w:pos="4536"/>
        <w:tab w:val="right" w:pos="9072"/>
      </w:tabs>
      <w:spacing w:after="0" w:line="240" w:lineRule="auto"/>
    </w:pPr>
  </w:style>
  <w:style w:type="character" w:customStyle="1" w:styleId="En-tteCar">
    <w:name w:val="En-tête Car"/>
    <w:basedOn w:val="Policepardfaut"/>
    <w:link w:val="En-tte"/>
    <w:uiPriority w:val="99"/>
    <w:rsid w:val="004563C5"/>
  </w:style>
  <w:style w:type="paragraph" w:styleId="Pieddepage">
    <w:name w:val="footer"/>
    <w:basedOn w:val="Normal"/>
    <w:link w:val="PieddepageCar"/>
    <w:uiPriority w:val="99"/>
    <w:unhideWhenUsed/>
    <w:rsid w:val="004563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3C5"/>
  </w:style>
  <w:style w:type="paragraph" w:styleId="Sansinterligne">
    <w:name w:val="No Spacing"/>
    <w:uiPriority w:val="1"/>
    <w:qFormat/>
    <w:rsid w:val="00665A73"/>
    <w:pPr>
      <w:spacing w:after="0" w:line="240" w:lineRule="auto"/>
    </w:pPr>
  </w:style>
  <w:style w:type="character" w:styleId="Lienhypertexte">
    <w:name w:val="Hyperlink"/>
    <w:uiPriority w:val="99"/>
    <w:unhideWhenUsed/>
    <w:rsid w:val="002130EE"/>
    <w:rPr>
      <w:color w:val="0000FF"/>
      <w:u w:val="single"/>
    </w:rPr>
  </w:style>
  <w:style w:type="table" w:styleId="Grilledutableau">
    <w:name w:val="Table Grid"/>
    <w:basedOn w:val="TableauNormal"/>
    <w:uiPriority w:val="59"/>
    <w:rsid w:val="0082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547765"/>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477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edel@vosge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ottero@vosges.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4" ma:contentTypeDescription="Crée un document." ma:contentTypeScope="" ma:versionID="61830cbd5f49796823cf5e75af35356d">
  <xsd:schema xmlns:xsd="http://www.w3.org/2001/XMLSchema" xmlns:xs="http://www.w3.org/2001/XMLSchema" xmlns:p="http://schemas.microsoft.com/office/2006/metadata/properties" xmlns:ns3="547e5d48-bd6b-46e7-8044-ebcf841533a4" xmlns:ns4="93289db9-b56c-446b-973a-e8054a9953d1" targetNamespace="http://schemas.microsoft.com/office/2006/metadata/properties" ma:root="true" ma:fieldsID="c79dc0bfab057c28419600fb4cd2a765" ns3:_="" ns4:_="">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7e5d48-bd6b-46e7-8044-ebcf841533a4" xsi:nil="true"/>
  </documentManagement>
</p:properties>
</file>

<file path=customXml/itemProps1.xml><?xml version="1.0" encoding="utf-8"?>
<ds:datastoreItem xmlns:ds="http://schemas.openxmlformats.org/officeDocument/2006/customXml" ds:itemID="{5561F804-5BAF-4391-88DA-0ABD65CA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66C57-D64E-4FBA-8520-E1EF9CDAF555}">
  <ds:schemaRefs>
    <ds:schemaRef ds:uri="http://schemas.microsoft.com/sharepoint/v3/contenttype/forms"/>
  </ds:schemaRefs>
</ds:datastoreItem>
</file>

<file path=customXml/itemProps3.xml><?xml version="1.0" encoding="utf-8"?>
<ds:datastoreItem xmlns:ds="http://schemas.openxmlformats.org/officeDocument/2006/customXml" ds:itemID="{B83F900C-6736-470F-9DF8-DA1347A8BBD2}">
  <ds:schemaRefs>
    <ds:schemaRef ds:uri="http://schemas.microsoft.com/office/2006/metadata/properties"/>
    <ds:schemaRef ds:uri="547e5d48-bd6b-46e7-8044-ebcf841533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3289db9-b56c-446b-973a-e8054a9953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14592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Conseil général des Vosges</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LEUVREY Cedric</dc:creator>
  <cp:lastModifiedBy>BEDEL Aurélie</cp:lastModifiedBy>
  <cp:revision>3</cp:revision>
  <cp:lastPrinted>2023-12-04T07:23:00Z</cp:lastPrinted>
  <dcterms:created xsi:type="dcterms:W3CDTF">2023-12-21T15:13:00Z</dcterms:created>
  <dcterms:modified xsi:type="dcterms:W3CDTF">2023-12-21T15:13:00Z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y fmtid="{D5CDD505-2E9C-101B-9397-08002B2CF9AE}" pid="3" name="_dlc_DocIdItemGuid">
    <vt:lpwstr>d1eb1d41-5045-4557-96ed-f3b1a5e778df</vt:lpwstr>
  </property>
</Properties>
</file>